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0037-2022-QEO</w:t>
      </w:r>
      <w:bookmarkEnd w:id="0"/>
    </w:p>
    <w:p>
      <w:pPr>
        <w:snapToGrid w:val="0"/>
        <w:spacing w:after="94" w:afterLines="30"/>
        <w:jc w:val="center"/>
        <w:rPr>
          <w:rFonts w:hint="eastAsia"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71755</wp:posOffset>
            </wp:positionV>
            <wp:extent cx="1746885" cy="1749425"/>
            <wp:effectExtent l="0" t="0" r="5715" b="3175"/>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6885" cy="1749425"/>
                    </a:xfrm>
                    <a:prstGeom prst="rect">
                      <a:avLst/>
                    </a:prstGeom>
                  </pic:spPr>
                </pic:pic>
              </a:graphicData>
            </a:graphic>
          </wp:anchor>
        </w:drawing>
      </w: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pStyle w:val="5"/>
        <w:rPr>
          <w:rFonts w:hint="eastAsia"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北京东奥时代教育科技有限公司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1"/>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b/>
                <w:bCs/>
                <w:szCs w:val="21"/>
              </w:rPr>
            </w:pPr>
            <w:r>
              <w:rPr>
                <w:rFonts w:hint="eastAsia" w:cs="Arial"/>
                <w:b/>
                <w:bCs/>
                <w:color w:val="000000"/>
                <w:szCs w:val="21"/>
              </w:rPr>
              <w:t>审核日期</w:t>
            </w:r>
          </w:p>
        </w:tc>
        <w:tc>
          <w:tcPr>
            <w:tcW w:w="7431" w:type="dxa"/>
            <w:tcMar>
              <w:left w:w="113" w:type="dxa"/>
            </w:tcMar>
            <w:vAlign w:val="top"/>
          </w:tcPr>
          <w:p>
            <w:pPr>
              <w:rPr>
                <w:szCs w:val="21"/>
              </w:rPr>
            </w:pPr>
            <w:bookmarkStart w:id="8" w:name="审核日期"/>
            <w:r>
              <w:rPr>
                <w:rFonts w:hint="eastAsia" w:ascii="宋体"/>
                <w:b/>
                <w:color w:val="000000"/>
                <w:szCs w:val="21"/>
              </w:rPr>
              <w:t>2022年02月28日 下午至2022年02月28日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vAlign w:val="top"/>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ascii="宋体" w:hAnsi="宋体"/>
                <w:b/>
                <w:color w:val="000000"/>
                <w:szCs w:val="21"/>
                <w:lang w:val="de-DE"/>
              </w:rPr>
            </w:pPr>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 xml:space="preserve">FSMS：□ GB/T22000-2006□ISO 22000-2018 </w:t>
            </w:r>
          </w:p>
          <w:p>
            <w:pPr>
              <w:rPr>
                <w:rFonts w:ascii="宋体" w:hAnsi="宋体"/>
                <w:b/>
                <w:color w:val="000000"/>
                <w:szCs w:val="21"/>
                <w:lang w:val="de-DE"/>
              </w:rPr>
            </w:pPr>
            <w:r>
              <w:rPr>
                <w:rFonts w:hint="eastAsia" w:ascii="宋体" w:hAnsi="宋体"/>
                <w:b/>
                <w:color w:val="000000"/>
                <w:szCs w:val="21"/>
                <w:lang w:val="de-DE"/>
              </w:rPr>
              <w:t>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top"/>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vAlign w:val="top"/>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1"/>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b/>
                <w:color w:val="000000"/>
                <w:szCs w:val="21"/>
              </w:rPr>
            </w:pPr>
            <w:r>
              <w:rPr>
                <w:b/>
                <w:color w:val="000000"/>
                <w:szCs w:val="21"/>
              </w:rPr>
              <w:t>E:33.03.02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O:33.03.02</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朱晓丽</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2021-N1QMS-3205805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2021-N1EMS-3205805</w:t>
            </w:r>
          </w:p>
        </w:tc>
        <w:tc>
          <w:tcPr>
            <w:tcW w:w="1140" w:type="dxa"/>
            <w:vAlign w:val="center"/>
          </w:tcPr>
          <w:p>
            <w:pPr>
              <w:spacing w:line="240" w:lineRule="exact"/>
              <w:jc w:val="center"/>
              <w:rPr>
                <w:b/>
                <w:color w:val="000000"/>
                <w:szCs w:val="21"/>
              </w:rPr>
            </w:pPr>
            <w:r>
              <w:rPr>
                <w:b/>
                <w:color w:val="000000"/>
                <w:szCs w:val="21"/>
              </w:rPr>
              <w:t>Q:33.03.02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E:33.03.02</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2021-N1QMS-2218164</w:t>
            </w:r>
          </w:p>
          <w:p>
            <w:pPr>
              <w:spacing w:line="240" w:lineRule="exact"/>
              <w:jc w:val="center"/>
              <w:rPr>
                <w:b/>
                <w:color w:val="000000"/>
                <w:szCs w:val="21"/>
              </w:rPr>
            </w:pPr>
            <w:r>
              <w:rPr>
                <w:b/>
                <w:color w:val="000000"/>
                <w:szCs w:val="21"/>
              </w:rPr>
              <w:t>2020-N1EMS-1218164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2021-N1OHSMS-2218164</w:t>
            </w:r>
          </w:p>
        </w:tc>
        <w:tc>
          <w:tcPr>
            <w:tcW w:w="1140" w:type="dxa"/>
            <w:vAlign w:val="center"/>
          </w:tcPr>
          <w:p>
            <w:pPr>
              <w:spacing w:line="240" w:lineRule="exact"/>
              <w:jc w:val="center"/>
              <w:rPr>
                <w:b/>
                <w:color w:val="000000"/>
                <w:szCs w:val="21"/>
              </w:rPr>
            </w:pPr>
            <w:r>
              <w:rPr>
                <w:b/>
                <w:color w:val="000000"/>
                <w:szCs w:val="21"/>
              </w:rPr>
              <w:t>E:33.03.02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O:33.03.02</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明景梅</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ISC-JSZJ-489</w:t>
            </w:r>
          </w:p>
          <w:p>
            <w:pPr>
              <w:spacing w:line="240" w:lineRule="exact"/>
              <w:jc w:val="center"/>
              <w:rPr>
                <w:b/>
                <w:color w:val="000000"/>
                <w:szCs w:val="21"/>
              </w:rPr>
            </w:pPr>
            <w:r>
              <w:rPr>
                <w:b/>
                <w:color w:val="000000"/>
                <w:szCs w:val="21"/>
              </w:rPr>
              <w:t>ISC-JSZJ-489</w:t>
            </w:r>
          </w:p>
          <w:p>
            <w:pPr>
              <w:spacing w:line="240" w:lineRule="exact"/>
              <w:jc w:val="center"/>
              <w:rPr>
                <w:b/>
                <w:color w:val="000000"/>
                <w:szCs w:val="21"/>
              </w:rPr>
            </w:pPr>
            <w:r>
              <w:rPr>
                <w:b/>
                <w:color w:val="000000"/>
                <w:szCs w:val="21"/>
              </w:rPr>
              <w:t>ISC-JSZJ-489</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北京富乐园物业管理有限公司</w:t>
            </w:r>
          </w:p>
        </w:tc>
        <w:tc>
          <w:tcPr>
            <w:tcW w:w="1140" w:type="dxa"/>
            <w:vAlign w:val="center"/>
          </w:tcPr>
          <w:p>
            <w:pPr>
              <w:spacing w:line="240" w:lineRule="exact"/>
              <w:jc w:val="center"/>
              <w:rPr>
                <w:b/>
                <w:color w:val="000000"/>
                <w:szCs w:val="21"/>
              </w:rPr>
            </w:pPr>
            <w:r>
              <w:rPr>
                <w:b/>
                <w:color w:val="000000"/>
                <w:szCs w:val="21"/>
              </w:rPr>
              <w:t>Q:37.06.00</w:t>
            </w:r>
          </w:p>
          <w:p>
            <w:pPr>
              <w:spacing w:line="240" w:lineRule="exact"/>
              <w:jc w:val="center"/>
              <w:rPr>
                <w:b/>
                <w:color w:val="000000"/>
                <w:szCs w:val="21"/>
              </w:rPr>
            </w:pPr>
            <w:r>
              <w:rPr>
                <w:b/>
                <w:color w:val="000000"/>
                <w:szCs w:val="21"/>
              </w:rPr>
              <w:t>E:37.06.00</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O:37.06.00</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748" w:type="dxa"/>
            <w:vAlign w:val="center"/>
          </w:tcPr>
          <w:p>
            <w:pPr>
              <w:rPr>
                <w:b/>
                <w:color w:val="000000"/>
                <w:szCs w:val="21"/>
              </w:rPr>
            </w:pPr>
            <w:r>
              <w:rPr>
                <w:b/>
                <w:color w:val="000000"/>
                <w:szCs w:val="21"/>
              </w:rPr>
              <w:t>明景梅</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专家</w:t>
            </w:r>
          </w:p>
        </w:tc>
        <w:tc>
          <w:tcPr>
            <w:tcW w:w="711" w:type="dxa"/>
            <w:vAlign w:val="center"/>
          </w:tcPr>
          <w:p>
            <w:pPr>
              <w:rPr>
                <w:rFonts w:hint="eastAsia" w:eastAsia="宋体"/>
                <w:b/>
                <w:color w:val="000000"/>
                <w:szCs w:val="21"/>
                <w:lang w:val="en-US" w:eastAsia="zh-CN"/>
              </w:rPr>
            </w:pPr>
            <w:r>
              <w:rPr>
                <w:b/>
                <w:color w:val="000000"/>
                <w:szCs w:val="21"/>
              </w:rPr>
              <w:t>女</w:t>
            </w:r>
          </w:p>
        </w:tc>
        <w:tc>
          <w:tcPr>
            <w:tcW w:w="3870" w:type="dxa"/>
            <w:vAlign w:val="center"/>
          </w:tcPr>
          <w:p>
            <w:pPr>
              <w:rPr>
                <w:b/>
                <w:color w:val="000000"/>
                <w:szCs w:val="21"/>
              </w:rPr>
            </w:pPr>
            <w:r>
              <w:rPr>
                <w:b/>
                <w:color w:val="000000"/>
                <w:szCs w:val="21"/>
              </w:rPr>
              <w:t>北京富乐园物业管理有限公司</w:t>
            </w:r>
          </w:p>
        </w:tc>
        <w:tc>
          <w:tcPr>
            <w:tcW w:w="2228" w:type="dxa"/>
            <w:gridSpan w:val="2"/>
            <w:vAlign w:val="center"/>
          </w:tcPr>
          <w:p>
            <w:pPr>
              <w:rPr>
                <w:rFonts w:hint="eastAsia" w:eastAsia="宋体"/>
                <w:b/>
                <w:color w:val="000000"/>
                <w:szCs w:val="21"/>
                <w:lang w:val="en-US" w:eastAsia="zh-CN"/>
              </w:rPr>
            </w:pPr>
            <w:r>
              <w:rPr>
                <w:rFonts w:hint="eastAsia"/>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bookmarkStart w:id="17" w:name="组织名称Add1"/>
            <w:r>
              <w:rPr>
                <w:rFonts w:ascii="宋体"/>
                <w:b/>
                <w:color w:val="000000"/>
                <w:szCs w:val="21"/>
              </w:rPr>
              <w:t>北京东奥时代教育科技有限公司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北京市海淀区中关村南大街甲18号院1-4号楼7层D座07-7D</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北京市海淀区中关村南大街甲18号院1-4号楼7层D座07-7D</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陈龙烨</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18610912008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李嘉</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田庆欢</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widowControl/>
              <w:jc w:val="left"/>
              <w:rPr>
                <w:rFonts w:hint="eastAsia" w:ascii="宋体"/>
                <w:b/>
                <w:color w:val="000000"/>
                <w:szCs w:val="21"/>
              </w:rPr>
            </w:pPr>
            <w:r>
              <w:rPr>
                <w:rFonts w:hint="eastAsia" w:ascii="宋体" w:hAnsi="宋体"/>
                <w:b/>
                <w:color w:val="000000"/>
                <w:szCs w:val="21"/>
              </w:rPr>
              <w:t>产品</w:t>
            </w:r>
            <w:r>
              <w:rPr>
                <w:rFonts w:hint="eastAsia" w:ascii="宋体"/>
                <w:b/>
                <w:color w:val="000000"/>
                <w:szCs w:val="21"/>
              </w:rPr>
              <w:t>：</w:t>
            </w:r>
          </w:p>
          <w:p>
            <w:pPr>
              <w:tabs>
                <w:tab w:val="left" w:pos="360"/>
              </w:tabs>
              <w:ind w:left="360" w:hanging="360"/>
              <w:rPr>
                <w:rFonts w:ascii="宋体" w:hAnsi="宋体"/>
                <w:b/>
                <w:color w:val="000000"/>
                <w:szCs w:val="21"/>
              </w:rPr>
            </w:pPr>
            <w:r>
              <w:rPr>
                <w:rFonts w:ascii="宋体" w:hAnsi="宋体" w:cs="宋体"/>
                <w:color w:val="000000"/>
                <w:kern w:val="0"/>
                <w:szCs w:val="21"/>
              </w:rPr>
              <w:t>互联信息网服务（除新闻、出版、医疗保健、药品、医疗器械以外的内容）；教育咨询（中介服务除外）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lang w:val="en-US" w:eastAsia="zh-CN"/>
              </w:rPr>
            </w:pPr>
            <w:r>
              <w:rPr>
                <w:rFonts w:hint="eastAsia"/>
                <w:lang w:val="en-US" w:eastAsia="zh-CN"/>
              </w:rPr>
              <w:t>互联网信息服务：</w:t>
            </w:r>
          </w:p>
          <w:p>
            <w:pPr>
              <w:tabs>
                <w:tab w:val="left" w:pos="360"/>
              </w:tabs>
              <w:ind w:left="360" w:hanging="360"/>
              <w:rPr>
                <w:rFonts w:hint="eastAsia"/>
                <w:lang w:val="en-US" w:eastAsia="zh-CN"/>
              </w:rPr>
            </w:pPr>
            <w:r>
              <w:rPr>
                <w:rFonts w:hint="eastAsia"/>
                <w:lang w:val="en-US" w:eastAsia="zh-CN"/>
              </w:rPr>
              <w:t>流程：需求分析—需求确认-内部评审—研发（架构设计、模型建立、分工、编程）—测试—验证—确认—上线—运行</w:t>
            </w:r>
          </w:p>
          <w:p>
            <w:pPr>
              <w:tabs>
                <w:tab w:val="left" w:pos="360"/>
              </w:tabs>
              <w:ind w:left="360" w:hanging="360"/>
              <w:rPr>
                <w:rFonts w:ascii="宋体"/>
                <w:color w:val="000000"/>
                <w:szCs w:val="21"/>
              </w:rPr>
            </w:pPr>
            <w:r>
              <w:rPr>
                <w:rFonts w:hint="eastAsia"/>
                <w:lang w:val="en-US" w:eastAsia="zh-CN"/>
              </w:rPr>
              <w:t>教育咨询：签合同---客户沟通---课程定制---课件安装上传至客户端--交付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rPr>
              <w:t>互联信息网服务（除新闻、出版、医疗保健、药品、医疗器械以外的内容）；教育咨询（中介服务除外）</w:t>
            </w:r>
          </w:p>
        </w:tc>
        <w:tc>
          <w:tcPr>
            <w:tcW w:w="2006" w:type="dxa"/>
            <w:gridSpan w:val="3"/>
            <w:vAlign w:val="center"/>
          </w:tcPr>
          <w:p>
            <w:pPr>
              <w:widowControl/>
              <w:jc w:val="left"/>
              <w:rPr>
                <w:rFonts w:hint="eastAsia" w:ascii="宋体" w:hAnsi="宋体" w:cs="宋体"/>
                <w:color w:val="000000"/>
                <w:kern w:val="0"/>
                <w:szCs w:val="24"/>
              </w:rPr>
            </w:pPr>
            <w:r>
              <w:rPr>
                <w:rFonts w:hint="eastAsia" w:ascii="宋体" w:hAnsi="宋体" w:cs="宋体"/>
                <w:color w:val="000000"/>
                <w:kern w:val="0"/>
                <w:szCs w:val="24"/>
              </w:rPr>
              <w:t>Q：33.03.02;37.06.00</w:t>
            </w:r>
          </w:p>
          <w:p>
            <w:pPr>
              <w:spacing w:line="400" w:lineRule="exact"/>
              <w:jc w:val="left"/>
              <w:rPr>
                <w:rFonts w:ascii="宋体" w:hAnsi="宋体"/>
                <w:b/>
                <w:color w:val="000000"/>
                <w:szCs w:val="21"/>
              </w:rPr>
            </w:pPr>
            <w:r>
              <w:rPr>
                <w:rFonts w:hint="eastAsia" w:ascii="宋体" w:hAnsi="宋体" w:cs="宋体"/>
                <w:color w:val="000000"/>
                <w:kern w:val="0"/>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rPr>
              <w:t>互联信息网服务（除新闻、出版、医疗保健、药品、医疗器械以外的内容）；教育咨询（中介服务除外）所涉及场所的相关环境管理活动</w:t>
            </w:r>
          </w:p>
        </w:tc>
        <w:tc>
          <w:tcPr>
            <w:tcW w:w="2006" w:type="dxa"/>
            <w:gridSpan w:val="3"/>
            <w:vAlign w:val="center"/>
          </w:tcPr>
          <w:p>
            <w:pPr>
              <w:widowControl/>
              <w:jc w:val="left"/>
              <w:rPr>
                <w:rFonts w:ascii="宋体" w:hAnsi="宋体" w:cs="宋体"/>
                <w:color w:val="000000"/>
                <w:kern w:val="0"/>
                <w:szCs w:val="21"/>
              </w:rPr>
            </w:pPr>
            <w:r>
              <w:rPr>
                <w:rFonts w:ascii="宋体" w:hAnsi="宋体" w:cs="宋体"/>
                <w:color w:val="000000"/>
                <w:kern w:val="0"/>
                <w:szCs w:val="21"/>
              </w:rPr>
              <w:t>E:</w:t>
            </w:r>
            <w:r>
              <w:rPr>
                <w:rFonts w:hint="eastAsia" w:ascii="宋体" w:hAnsi="宋体" w:cs="宋体"/>
                <w:color w:val="000000"/>
                <w:kern w:val="0"/>
                <w:szCs w:val="24"/>
              </w:rPr>
              <w:t>33.03.02;37.06.00</w:t>
            </w:r>
          </w:p>
          <w:p>
            <w:pPr>
              <w:spacing w:line="400" w:lineRule="exact"/>
              <w:jc w:val="lef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ascii="宋体" w:hAnsi="宋体" w:cs="宋体"/>
                <w:color w:val="000000"/>
                <w:kern w:val="0"/>
                <w:szCs w:val="21"/>
              </w:rPr>
              <w:t>互联信息网服务（除新闻、出版、医疗保健、药品、医疗器械以外的内容）；教育咨询（中介服务除外）所涉及场所的相关职业健康安全管理活动</w:t>
            </w:r>
          </w:p>
        </w:tc>
        <w:tc>
          <w:tcPr>
            <w:tcW w:w="2006" w:type="dxa"/>
            <w:gridSpan w:val="3"/>
            <w:vAlign w:val="center"/>
          </w:tcPr>
          <w:p>
            <w:pPr>
              <w:spacing w:line="400" w:lineRule="exact"/>
              <w:jc w:val="left"/>
              <w:rPr>
                <w:rFonts w:ascii="宋体" w:hAnsi="宋体"/>
                <w:b/>
                <w:color w:val="000000"/>
                <w:szCs w:val="21"/>
              </w:rPr>
            </w:pPr>
            <w:r>
              <w:rPr>
                <w:rFonts w:ascii="宋体" w:hAnsi="宋体" w:cs="宋体"/>
                <w:color w:val="000000"/>
                <w:kern w:val="0"/>
                <w:szCs w:val="21"/>
              </w:rPr>
              <w:t>O:</w:t>
            </w:r>
            <w:r>
              <w:rPr>
                <w:rFonts w:hint="eastAsia" w:ascii="宋体" w:hAnsi="宋体" w:cs="宋体"/>
                <w:color w:val="000000"/>
                <w:kern w:val="0"/>
                <w:szCs w:val="24"/>
              </w:rPr>
              <w:t>33.03.02;37.06.00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5"/>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4"/>
        <w:rPr>
          <w:rFonts w:eastAsia="黑体" w:cs="Arial"/>
          <w:sz w:val="21"/>
          <w:szCs w:val="21"/>
          <w:lang w:val="en-US" w:eastAsia="ja-JP"/>
        </w:rPr>
      </w:pPr>
      <w:r>
        <w:rPr>
          <w:rFonts w:eastAsia="黑体"/>
          <w:sz w:val="21"/>
          <w:szCs w:val="21"/>
          <w:lang w:eastAsia="zh-CN"/>
        </w:rPr>
        <w:t>认证覆盖以下各场所/场地及其对应的范围: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5"/>
              <w:spacing w:before="0" w:after="0"/>
              <w:rPr>
                <w:rFonts w:eastAsia="黑体" w:cs="Arial"/>
                <w:sz w:val="21"/>
                <w:szCs w:val="21"/>
                <w:lang w:eastAsia="zh-CN"/>
              </w:rPr>
            </w:pPr>
            <w:r>
              <w:rPr>
                <w:rFonts w:eastAsia="黑体" w:cs="Arial"/>
                <w:sz w:val="21"/>
                <w:szCs w:val="21"/>
                <w:lang w:eastAsia="zh-CN"/>
              </w:rPr>
              <w:t>场所编号</w:t>
            </w:r>
          </w:p>
          <w:p>
            <w:pPr>
              <w:pStyle w:val="25"/>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5"/>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5"/>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5"/>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北京东奥时代教育科技有限公司</w:t>
            </w:r>
            <w:r>
              <w:rPr>
                <w:rFonts w:hint="eastAsia" w:ascii="宋体" w:hAnsi="宋体" w:cs="宋体"/>
                <w:color w:val="000000"/>
                <w:kern w:val="0"/>
                <w:szCs w:val="21"/>
                <w:lang w:val="en-US" w:eastAsia="zh-CN"/>
              </w:rPr>
              <w:t>/</w:t>
            </w:r>
            <w:bookmarkStart w:id="19" w:name="注册地址"/>
            <w:r>
              <w:rPr>
                <w:rFonts w:hint="eastAsia" w:ascii="宋体" w:hAnsi="宋体" w:cs="宋体"/>
                <w:color w:val="000000"/>
                <w:kern w:val="0"/>
                <w:szCs w:val="21"/>
              </w:rPr>
              <w:t>北京市海淀区中关村南大街甲18号院1-4号楼7层D座07-7D</w:t>
            </w:r>
            <w:bookmarkEnd w:id="19"/>
          </w:p>
        </w:tc>
        <w:tc>
          <w:tcPr>
            <w:tcW w:w="2267"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北京市海淀区中关村南大街甲18号院1-4号楼7层D座07-7D</w:t>
            </w:r>
          </w:p>
        </w:tc>
        <w:tc>
          <w:tcPr>
            <w:tcW w:w="57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65</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Q：</w:t>
            </w:r>
            <w:r>
              <w:rPr>
                <w:rFonts w:ascii="宋体" w:hAnsi="宋体" w:cs="宋体"/>
                <w:color w:val="000000"/>
                <w:kern w:val="0"/>
                <w:szCs w:val="21"/>
              </w:rPr>
              <w:t>互联信息网服务（除新闻、出版、医疗保健、药品、医疗器械以外的内容）；教育咨询（中介服务除外）</w:t>
            </w:r>
          </w:p>
          <w:p>
            <w:pPr>
              <w:pStyle w:val="23"/>
              <w:rPr>
                <w:rFonts w:ascii="Times New Roman" w:hAnsi="Times New Roman" w:eastAsia="黑体" w:cs="Arial"/>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GB/T19001-2016/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北京东奥时代教育科技有限公司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北京市海淀区中关村南大街甲18号院1-4号楼7层D座07-7D</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北京市海淀区中关村南大街甲18号院1-4号楼7层D座07-7D</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65</w:t>
            </w:r>
          </w:p>
        </w:tc>
        <w:tc>
          <w:tcPr>
            <w:tcW w:w="2803"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w:t>
            </w:r>
            <w:r>
              <w:rPr>
                <w:rFonts w:ascii="宋体" w:hAnsi="宋体" w:cs="宋体"/>
                <w:color w:val="000000"/>
                <w:kern w:val="0"/>
                <w:szCs w:val="21"/>
              </w:rPr>
              <w:t>互联信息网服务（除新闻、出版、医疗保健、药品、医疗器械以外的内容）；教育咨询（中介服务除外）所涉及场所的相关环境管理活动</w:t>
            </w:r>
          </w:p>
          <w:p>
            <w:pPr>
              <w:spacing w:before="40" w:after="40"/>
              <w:rPr>
                <w:rFonts w:ascii="Times New Roman" w:hAnsi="Times New Roman" w:eastAsia="黑体" w:cs="Times New Roman"/>
                <w:kern w:val="2"/>
                <w:sz w:val="21"/>
                <w:szCs w:val="21"/>
                <w:lang w:val="en-US" w:eastAsia="ja-JP" w:bidi="ar-SA"/>
              </w:rPr>
            </w:pP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北京东奥时代教育科技有限公司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北京市海淀区中关村南大街甲18号院1-4号楼7层D座07-7D</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北京市海淀区中关村南大街甲18号院1-4号楼7层D座07-7D</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65</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O：</w:t>
            </w:r>
            <w:r>
              <w:rPr>
                <w:rFonts w:ascii="宋体" w:hAnsi="宋体" w:cs="宋体"/>
                <w:color w:val="000000"/>
                <w:kern w:val="0"/>
                <w:szCs w:val="21"/>
              </w:rPr>
              <w:t>互联信息网服务（除新闻、出版、医疗保健、药品、医疗器械以外的内容）；教育咨询（中介服务除外）所涉及场所的相关职业健康安全管理活动</w:t>
            </w:r>
          </w:p>
        </w:tc>
        <w:tc>
          <w:tcPr>
            <w:tcW w:w="669" w:type="dxa"/>
            <w:vAlign w:val="center"/>
          </w:tcPr>
          <w:p>
            <w:pPr>
              <w:rPr>
                <w:rFonts w:ascii="Times New Roman" w:hAnsi="Times New Roman" w:eastAsia="宋体" w:cs="Times New Roman"/>
                <w:color w:val="auto"/>
                <w:kern w:val="2"/>
                <w:sz w:val="21"/>
                <w:szCs w:val="24"/>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eastAsia="黑体"/>
                <w:szCs w:val="21"/>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1"/>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5"/>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5"/>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5"/>
              <w:jc w:val="left"/>
              <w:rPr>
                <w:rFonts w:ascii="宋体"/>
                <w:color w:val="000000"/>
                <w:sz w:val="21"/>
                <w:szCs w:val="21"/>
                <w:lang w:val="en-GB" w:eastAsia="zh-CN"/>
              </w:rPr>
            </w:pP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5"/>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5"/>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1"/>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20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5"/>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ind w:firstLine="402" w:firstLineChars="200"/>
              <w:rPr>
                <w:rFonts w:hint="default" w:ascii="宋体" w:eastAsia="宋体"/>
                <w:color w:val="000000"/>
                <w:szCs w:val="21"/>
                <w:lang w:val="en-US" w:eastAsia="zh-CN"/>
              </w:rPr>
            </w:pPr>
            <w:r>
              <w:rPr>
                <w:rFonts w:hint="eastAsia" w:cs="Times New Roman"/>
                <w:b/>
                <w:sz w:val="20"/>
                <w:lang w:val="en-US" w:eastAsia="zh-CN"/>
              </w:rPr>
              <w:t>设计</w:t>
            </w:r>
            <w:r>
              <w:rPr>
                <w:rFonts w:hint="eastAsia" w:ascii="Times New Roman" w:hAnsi="Times New Roman" w:eastAsia="宋体" w:cs="Times New Roman"/>
                <w:b/>
                <w:sz w:val="20"/>
                <w:lang w:val="en-US" w:eastAsia="zh-CN"/>
              </w:rPr>
              <w:t>过程</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ind w:firstLine="602" w:firstLineChars="300"/>
              <w:rPr>
                <w:rFonts w:hint="default" w:ascii="宋体" w:eastAsia="宋体"/>
                <w:color w:val="000000"/>
                <w:spacing w:val="-10"/>
                <w:szCs w:val="21"/>
                <w:lang w:val="en-US" w:eastAsia="zh-CN"/>
              </w:rPr>
            </w:pPr>
            <w:r>
              <w:rPr>
                <w:rFonts w:hint="eastAsia" w:cs="Times New Roman"/>
                <w:b/>
                <w:sz w:val="20"/>
                <w:lang w:val="en-US" w:eastAsia="zh-CN"/>
              </w:rPr>
              <w:t>教育咨询过程</w:t>
            </w:r>
            <w:r>
              <w:rPr>
                <w:rFonts w:hint="eastAsia" w:ascii="Times New Roman" w:hAnsi="Times New Roman" w:eastAsia="宋体" w:cs="Times New Roman"/>
                <w:b/>
                <w:sz w:val="20"/>
                <w:lang w:val="en-US" w:eastAsia="zh-CN"/>
              </w:rPr>
              <w:t xml:space="preserve"> </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auto"/>
                <w:spacing w:val="-10"/>
                <w:szCs w:val="21"/>
                <w:lang w:eastAsia="zh-CN"/>
              </w:rPr>
              <w:t>☑</w:t>
            </w:r>
            <w:r>
              <w:rPr>
                <w:rFonts w:hint="eastAsia" w:ascii="宋体" w:hAnsi="宋体"/>
                <w:b/>
                <w:color w:val="auto"/>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11"/>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11"/>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FF0000"/>
                <w:spacing w:val="-10"/>
                <w:szCs w:val="21"/>
                <w:lang w:eastAsia="zh-CN"/>
              </w:rPr>
              <w:t>☑</w:t>
            </w:r>
            <w:r>
              <w:rPr>
                <w:rFonts w:hint="eastAsia" w:ascii="宋体"/>
                <w:color w:val="FF0000"/>
                <w:spacing w:val="-10"/>
                <w:szCs w:val="21"/>
              </w:rPr>
              <w:t>安全和职业健康主管部门</w:t>
            </w:r>
            <w:r>
              <w:rPr>
                <w:rFonts w:hint="eastAsia" w:ascii="宋体"/>
                <w:color w:val="000000"/>
                <w:spacing w:val="-10"/>
                <w:szCs w:val="21"/>
              </w:rPr>
              <w:t>、</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1"/>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0" w:name="二阶段审核日期"/>
            <w:r>
              <w:rPr>
                <w:rFonts w:hint="eastAsia" w:ascii="宋体"/>
                <w:b/>
                <w:color w:val="000000"/>
                <w:szCs w:val="21"/>
              </w:rPr>
              <w:t>202</w:t>
            </w:r>
            <w:bookmarkEnd w:id="20"/>
            <w:r>
              <w:rPr>
                <w:rFonts w:hint="eastAsia" w:ascii="宋体"/>
                <w:b/>
                <w:color w:val="000000"/>
                <w:szCs w:val="21"/>
                <w:lang w:val="en-US" w:eastAsia="zh-CN"/>
              </w:rPr>
              <w:t>2.3.2-3</w:t>
            </w:r>
            <w:bookmarkStart w:id="21" w:name="_GoBack"/>
            <w:bookmarkEnd w:id="21"/>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1"/>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1"/>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hAnsi="宋体"/>
          <w:b/>
          <w:color w:val="000000"/>
          <w:szCs w:val="21"/>
        </w:rPr>
      </w:pP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1054" w:firstLineChars="500"/>
        <w:rPr>
          <w:rFonts w:hint="eastAsia" w:ascii="宋体" w:hAnsi="宋体"/>
          <w:b/>
          <w:color w:val="000000"/>
          <w:szCs w:val="21"/>
        </w:rPr>
      </w:pPr>
    </w:p>
    <w:p>
      <w:pPr>
        <w:ind w:firstLine="1054" w:firstLineChars="5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2022.2.28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9"/>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9"/>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1"/>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rightChars="0"/>
              <w:jc w:val="both"/>
              <w:rPr>
                <w:rFonts w:hint="eastAsia" w:ascii="宋体" w:hAnsi="Calibri" w:eastAsia="宋体" w:cs="Times New Roman"/>
                <w:color w:val="000000"/>
                <w:kern w:val="2"/>
                <w:sz w:val="21"/>
                <w:szCs w:val="21"/>
                <w:lang w:val="en-US" w:eastAsia="zh-CN" w:bidi="ar-SA"/>
              </w:rPr>
            </w:pPr>
            <w:r>
              <w:rPr>
                <w:sz w:val="21"/>
              </w:rPr>
              <w:pict>
                <v:line id="_x0000_s2051" o:spid="_x0000_s2051" o:spt="20" style="position:absolute;left:0pt;flip:y;margin-left:-7.35pt;margin-top:-26.25pt;height:333pt;width:505pt;z-index:251661312;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9"/>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922" w:type="dxa"/>
            <w:vAlign w:val="center"/>
          </w:tcPr>
          <w:p>
            <w:pPr>
              <w:pStyle w:val="9"/>
              <w:pBdr>
                <w:bottom w:val="none" w:color="auto" w:sz="0" w:space="0"/>
              </w:pBdr>
              <w:ind w:right="600"/>
              <w:jc w:val="both"/>
              <w:rPr>
                <w:rFonts w:hint="default" w:eastAsia="宋体"/>
                <w:color w:val="000000"/>
                <w:sz w:val="21"/>
                <w:szCs w:val="21"/>
                <w:lang w:val="en-US" w:eastAsia="zh-CN"/>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9"/>
              <w:pBdr>
                <w:bottom w:val="none" w:color="auto" w:sz="0" w:space="0"/>
              </w:pBdr>
              <w:ind w:right="600"/>
              <w:jc w:val="both"/>
              <w:rPr>
                <w:rFonts w:ascii="宋体"/>
                <w:color w:val="000000"/>
                <w:sz w:val="21"/>
                <w:szCs w:val="21"/>
              </w:rPr>
            </w:pPr>
          </w:p>
        </w:tc>
        <w:tc>
          <w:tcPr>
            <w:tcW w:w="6191" w:type="dxa"/>
            <w:gridSpan w:val="2"/>
            <w:vAlign w:val="center"/>
          </w:tcPr>
          <w:p>
            <w:pPr>
              <w:pStyle w:val="9"/>
              <w:pBdr>
                <w:bottom w:val="none" w:color="auto" w:sz="0" w:space="0"/>
              </w:pBdr>
              <w:tabs>
                <w:tab w:val="center" w:pos="5737"/>
                <w:tab w:val="clear" w:pos="4153"/>
              </w:tabs>
              <w:jc w:val="both"/>
              <w:rPr>
                <w:color w:val="000000"/>
                <w:sz w:val="21"/>
                <w:szCs w:val="21"/>
              </w:rPr>
            </w:pPr>
          </w:p>
        </w:tc>
        <w:tc>
          <w:tcPr>
            <w:tcW w:w="922" w:type="dxa"/>
            <w:vAlign w:val="center"/>
          </w:tcPr>
          <w:p>
            <w:pPr>
              <w:pStyle w:val="9"/>
              <w:pBdr>
                <w:bottom w:val="none" w:color="auto" w:sz="0" w:space="0"/>
              </w:pBdr>
              <w:ind w:right="600"/>
              <w:jc w:val="both"/>
              <w:rPr>
                <w:color w:val="000000"/>
                <w:sz w:val="21"/>
                <w:szCs w:val="21"/>
              </w:rPr>
            </w:pPr>
          </w:p>
        </w:tc>
        <w:tc>
          <w:tcPr>
            <w:tcW w:w="1133" w:type="dxa"/>
            <w:vAlign w:val="center"/>
          </w:tcPr>
          <w:p>
            <w:pPr>
              <w:pStyle w:val="9"/>
              <w:pBdr>
                <w:bottom w:val="none" w:color="auto" w:sz="0" w:space="0"/>
              </w:pBdr>
              <w:ind w:right="600"/>
              <w:jc w:val="both"/>
              <w:rPr>
                <w:color w:val="000000"/>
                <w:sz w:val="21"/>
                <w:szCs w:val="21"/>
              </w:rPr>
            </w:pPr>
          </w:p>
        </w:tc>
        <w:tc>
          <w:tcPr>
            <w:tcW w:w="934" w:type="dxa"/>
            <w:vAlign w:val="center"/>
          </w:tcPr>
          <w:p>
            <w:pPr>
              <w:pStyle w:val="9"/>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lang w:eastAsia="zh-CN"/>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0" locked="0" layoutInCell="1" allowOverlap="1">
          <wp:simplePos x="0" y="0"/>
          <wp:positionH relativeFrom="column">
            <wp:posOffset>-60960</wp:posOffset>
          </wp:positionH>
          <wp:positionV relativeFrom="paragraph">
            <wp:posOffset>-59690</wp:posOffset>
          </wp:positionV>
          <wp:extent cx="482600" cy="485775"/>
          <wp:effectExtent l="0" t="0" r="0" b="9525"/>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single" w:color="auto" w:sz="4" w:space="1"/>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F95531"/>
    <w:rsid w:val="0EB754A4"/>
    <w:rsid w:val="13D6056D"/>
    <w:rsid w:val="148C279A"/>
    <w:rsid w:val="25322896"/>
    <w:rsid w:val="289C2876"/>
    <w:rsid w:val="2B314708"/>
    <w:rsid w:val="2CEF509E"/>
    <w:rsid w:val="2F94104F"/>
    <w:rsid w:val="33C96007"/>
    <w:rsid w:val="4824128E"/>
    <w:rsid w:val="48F3182E"/>
    <w:rsid w:val="51775FC7"/>
    <w:rsid w:val="684B7655"/>
    <w:rsid w:val="717A3604"/>
    <w:rsid w:val="73A859D3"/>
    <w:rsid w:val="74634581"/>
    <w:rsid w:val="7BDE226E"/>
    <w:rsid w:val="7DED76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4">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next w:val="4"/>
    <w:qFormat/>
    <w:uiPriority w:val="99"/>
    <w:pPr>
      <w:spacing w:after="120" w:afterLines="0"/>
    </w:pPr>
    <w:rPr>
      <w:kern w:val="2"/>
      <w:sz w:val="21"/>
    </w:rPr>
  </w:style>
  <w:style w:type="paragraph" w:styleId="6">
    <w:name w:val="Body Text Indent"/>
    <w:basedOn w:val="1"/>
    <w:qFormat/>
    <w:uiPriority w:val="0"/>
    <w:pPr>
      <w:tabs>
        <w:tab w:val="left" w:pos="1560"/>
        <w:tab w:val="left" w:pos="1985"/>
      </w:tabs>
      <w:ind w:left="1560" w:hanging="1560"/>
      <w:jc w:val="left"/>
    </w:pPr>
    <w:rPr>
      <w:lang w:eastAsia="ja-JP"/>
    </w:rPr>
  </w:style>
  <w:style w:type="paragraph" w:styleId="7">
    <w:name w:val="Balloon Text"/>
    <w:basedOn w:val="1"/>
    <w:link w:val="15"/>
    <w:semiHidden/>
    <w:qFormat/>
    <w:uiPriority w:val="99"/>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next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Subtitle"/>
    <w:basedOn w:val="1"/>
    <w:next w:val="1"/>
    <w:link w:val="18"/>
    <w:qFormat/>
    <w:uiPriority w:val="99"/>
    <w:pPr>
      <w:spacing w:before="240" w:after="60" w:line="312" w:lineRule="auto"/>
      <w:jc w:val="center"/>
      <w:outlineLvl w:val="1"/>
    </w:pPr>
    <w:rPr>
      <w:rFonts w:ascii="Cambria" w:hAnsi="Cambria"/>
      <w:b/>
      <w:bCs/>
      <w:kern w:val="28"/>
      <w:sz w:val="32"/>
      <w:szCs w:val="32"/>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批注框文本 Char"/>
    <w:link w:val="7"/>
    <w:semiHidden/>
    <w:qFormat/>
    <w:locked/>
    <w:uiPriority w:val="99"/>
    <w:rPr>
      <w:rFonts w:ascii="Times New Roman" w:hAnsi="Times New Roman" w:eastAsia="宋体" w:cs="Times New Roman"/>
      <w:sz w:val="18"/>
      <w:szCs w:val="18"/>
    </w:rPr>
  </w:style>
  <w:style w:type="character" w:customStyle="1" w:styleId="16">
    <w:name w:val="页脚 Char"/>
    <w:link w:val="8"/>
    <w:qFormat/>
    <w:locked/>
    <w:uiPriority w:val="99"/>
    <w:rPr>
      <w:rFonts w:ascii="Times New Roman" w:hAnsi="Times New Roman" w:eastAsia="宋体" w:cs="Times New Roman"/>
      <w:sz w:val="18"/>
      <w:szCs w:val="18"/>
    </w:rPr>
  </w:style>
  <w:style w:type="character" w:customStyle="1" w:styleId="17">
    <w:name w:val="页眉 Char"/>
    <w:link w:val="9"/>
    <w:qFormat/>
    <w:locked/>
    <w:uiPriority w:val="99"/>
    <w:rPr>
      <w:rFonts w:ascii="Calibri" w:hAnsi="Calibri" w:eastAsia="宋体" w:cs="Times New Roman"/>
      <w:sz w:val="18"/>
      <w:szCs w:val="18"/>
    </w:rPr>
  </w:style>
  <w:style w:type="character" w:customStyle="1" w:styleId="18">
    <w:name w:val="副标题 Char"/>
    <w:link w:val="10"/>
    <w:qFormat/>
    <w:locked/>
    <w:uiPriority w:val="99"/>
    <w:rPr>
      <w:rFonts w:ascii="Cambria" w:hAnsi="Cambria" w:eastAsia="宋体" w:cs="Times New Roman"/>
      <w:b/>
      <w:bCs/>
      <w:kern w:val="28"/>
      <w:sz w:val="32"/>
      <w:szCs w:val="32"/>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11pt AS0"/>
    <w:basedOn w:val="1"/>
    <w:qFormat/>
    <w:uiPriority w:val="0"/>
    <w:pPr>
      <w:spacing w:before="60"/>
    </w:pPr>
    <w:rPr>
      <w:sz w:val="22"/>
    </w:rPr>
  </w:style>
  <w:style w:type="paragraph" w:customStyle="1" w:styleId="21">
    <w:name w:val="Body 10pt De Left AS0"/>
    <w:basedOn w:val="1"/>
    <w:qFormat/>
    <w:uiPriority w:val="0"/>
  </w:style>
  <w:style w:type="paragraph" w:customStyle="1" w:styleId="22">
    <w:name w:val="Header 10pt De PS0"/>
    <w:basedOn w:val="1"/>
    <w:qFormat/>
    <w:uiPriority w:val="0"/>
    <w:pPr>
      <w:spacing w:before="40" w:after="40"/>
    </w:pPr>
    <w:rPr>
      <w:rFonts w:eastAsia="Times New Roman"/>
      <w:b/>
      <w:sz w:val="20"/>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Body 6pt"/>
    <w:basedOn w:val="1"/>
    <w:qFormat/>
    <w:uiPriority w:val="0"/>
    <w:pPr>
      <w:spacing w:before="40" w:after="40"/>
    </w:pPr>
    <w:rPr>
      <w:rFonts w:eastAsia="Times New Roman"/>
      <w:sz w:val="12"/>
      <w:szCs w:val="20"/>
      <w:lang w:val="de-DE" w:eastAsia="de-DE"/>
    </w:rPr>
  </w:style>
  <w:style w:type="paragraph" w:customStyle="1" w:styleId="25">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6">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4</TotalTime>
  <ScaleCrop>false</ScaleCrop>
  <LinksUpToDate>false</LinksUpToDate>
  <CharactersWithSpaces>9455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2022-03-06T11:57:50Z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