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山东金坤规划设计研究院有限公司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2022年01月17日下午至2022年01月17日下午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2022.1.17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B81F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2022-01-16T13:28:21Z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