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321"/>
        <w:gridCol w:w="1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山东金坤规划设计研究院有限公司</w:t>
            </w:r>
            <w:bookmarkEnd w:id="2"/>
          </w:p>
        </w:tc>
        <w:tc>
          <w:tcPr>
            <w:tcW w:w="15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土地整治规划：政府通过招标或投标—中标—调研、勘测、分析--确定土地整治具体项目—土地勘察、清查—编制项目可行性研究报告—报批—政府部门进行论证决定是否立项—编制规划设计报告与预算—报审—政府主管部门组织评审—备案（或批准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土地利用规划：政府通过招标或投标—中标—工作准备—调查分析与专题研究—规划方案编制—规划公示及意见征询—规划方案论证—规划评审—成果报批—规划公告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关键过程（工序）：</w:t>
            </w:r>
            <w:r>
              <w:rPr>
                <w:rFonts w:hint="eastAsia"/>
                <w:sz w:val="20"/>
                <w:lang w:val="en-US" w:eastAsia="zh-CN"/>
              </w:rPr>
              <w:t>方案设计、土地勘测</w:t>
            </w:r>
            <w:r>
              <w:rPr>
                <w:rFonts w:hint="eastAsia"/>
                <w:sz w:val="20"/>
                <w:lang w:eastAsia="zh-CN"/>
              </w:rPr>
              <w:t>；相关控制参数名称：</w:t>
            </w:r>
            <w:r>
              <w:rPr>
                <w:rFonts w:hint="eastAsia"/>
                <w:sz w:val="20"/>
                <w:lang w:val="en-US" w:eastAsia="zh-CN"/>
              </w:rPr>
              <w:t>资料、人员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《中华人民共和国土地管理法》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《中华人民共和国城乡规划法》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《中华人民共和国环境保护法》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《中华人民共和国土地管理法实施条例》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《基本农田保护条例》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《土地复垦条例》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《土地整治项目设计报告编制规程》（TD/T 1038-2013）；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《土地整治项目规划设计规范》（TD/T1012-2016）；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《土地整治工程建设标准》（TB37/T2840-2016）；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《土地整治项目工程量计算规则》（TD/T 1012-2016）；</w:t>
            </w:r>
          </w:p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《土地整治项目制图规范》（TD/T 1040-2013）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专家论证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172085</wp:posOffset>
                  </wp:positionV>
                  <wp:extent cx="673100" cy="4318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80645</wp:posOffset>
                  </wp:positionV>
                  <wp:extent cx="921385" cy="44323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山东金坤规划设计研究院有限公司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周文廷、李丽英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土地整治规划：政府通过招标或投标—中标—调研、勘测、分析--确定土地整治具体项目—土地勘察、清查—编制项目可行性研究报告—报批—政府部门进行论证决定是否立项—编制规划设计报告与预算—报审—政府主管部门组织评审—备案（或批准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土地利用规划：政府通过招标或投标—中标—工作准备—调查分析与专题研究—规划方案编制—规划公示及意见征询—规划方案论证—规划评审—成果报批—规划公告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固废排放、火灾事故的发生，制定管理方案，编制运行控制程序、消防控制程序、应急准备和响应控制程序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《中华人民共和国环境保护法》、《</w:t>
            </w:r>
            <w:r>
              <w:rPr>
                <w:rFonts w:hint="eastAsia"/>
                <w:sz w:val="20"/>
                <w:lang w:val="en-US" w:eastAsia="zh-CN"/>
              </w:rPr>
              <w:t>空气质量标准</w:t>
            </w:r>
            <w:r>
              <w:rPr>
                <w:rFonts w:hint="eastAsia"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125730</wp:posOffset>
                  </wp:positionV>
                  <wp:extent cx="921385" cy="44323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772160</wp:posOffset>
                  </wp:positionV>
                  <wp:extent cx="921385" cy="44323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山东金坤规划设计研究院有限公司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土地整治规划：政府通过招标或投标—中标—调研、勘测、分析--确定土地整治具体项目—土地勘察、清查—编制项目可行性研究报告—报批—政府部门进行论证决定是否立项—编制规划设计报告与预算—报审—政府主管部门组织评审—备案（或批准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土地利用规划：政府通过招标或投标—中标—工作准备—调查分析与专题研究—规划方案编制—规划公示及意见征询—规划方案论证—规划评审—成果报批—规划公告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，制定管理方案，编制运行控制程序、劳动防护用品控制程序、消防控制程序、应急准备和响应控制程序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民法典、中华人民共和国传染病法、劳动合同法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119380</wp:posOffset>
                  </wp:positionV>
                  <wp:extent cx="921385" cy="44323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53340</wp:posOffset>
                  </wp:positionV>
                  <wp:extent cx="921385" cy="44323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FA96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2022-01-19T01:47:04Z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