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重庆拱智商贸有限公司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生产部一线员工</w:t>
            </w:r>
            <w:r>
              <w:rPr>
                <w:rFonts w:hint="eastAsia" w:ascii="方正仿宋简体" w:eastAsia="方正仿宋简体"/>
                <w:b/>
              </w:rPr>
              <w:t>的职业危害体检情况，未提供其体检记录，不符合GB/T 45001-2020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总组长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126365</wp:posOffset>
                  </wp:positionV>
                  <wp:extent cx="404495" cy="340995"/>
                  <wp:effectExtent l="0" t="0" r="6985" b="9525"/>
                  <wp:wrapNone/>
                  <wp:docPr id="1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144780</wp:posOffset>
                  </wp:positionV>
                  <wp:extent cx="404495" cy="340995"/>
                  <wp:effectExtent l="0" t="0" r="6985" b="9525"/>
                  <wp:wrapNone/>
                  <wp:docPr id="2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吴成德</w:t>
            </w:r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受审核方代表：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補世惠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800F8E"/>
    <w:rsid w:val="5B2B0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2022-01-23T06:48:06Z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