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0022-2022-Q</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青岛鑫华荣昌工贸有限公司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青岛鑫华荣昌工贸有限公司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山东省青岛市黄岛区铁山街道办事处背儿山路6397号</w:t>
            </w:r>
            <w:bookmarkEnd w:id="6"/>
          </w:p>
        </w:tc>
        <w:tc>
          <w:tcPr>
            <w:tcW w:w="1242" w:type="dxa"/>
            <w:vMerge w:val="restart"/>
            <w:vAlign w:val="center"/>
          </w:tcPr>
          <w:p>
            <w:r>
              <w:rPr>
                <w:rFonts w:hint="eastAsia"/>
              </w:rPr>
              <w:t>邮编</w:t>
            </w:r>
          </w:p>
        </w:tc>
        <w:tc>
          <w:tcPr>
            <w:tcW w:w="1771" w:type="dxa"/>
          </w:tcPr>
          <w:p>
            <w:bookmarkStart w:id="7" w:name="注册邮编"/>
            <w:r>
              <w:t>266400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山东省青岛市黄岛区铁山街道办事处背儿山路6397号</w:t>
            </w:r>
            <w:bookmarkEnd w:id="8"/>
          </w:p>
        </w:tc>
        <w:tc>
          <w:tcPr>
            <w:tcW w:w="1242" w:type="dxa"/>
            <w:vMerge w:val="continue"/>
            <w:vAlign w:val="center"/>
          </w:tcPr>
          <w:p/>
        </w:tc>
        <w:tc>
          <w:tcPr>
            <w:tcW w:w="1771" w:type="dxa"/>
          </w:tcPr>
          <w:p>
            <w:bookmarkStart w:id="9" w:name="办公邮编"/>
            <w:r>
              <w:t>266400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相鹏飞</w:t>
            </w:r>
            <w:bookmarkEnd w:id="10"/>
          </w:p>
        </w:tc>
        <w:tc>
          <w:tcPr>
            <w:tcW w:w="1313" w:type="dxa"/>
            <w:vAlign w:val="center"/>
          </w:tcPr>
          <w:p>
            <w:r>
              <w:rPr>
                <w:rFonts w:hint="eastAsia"/>
              </w:rPr>
              <w:t>电话.</w:t>
            </w:r>
          </w:p>
        </w:tc>
        <w:tc>
          <w:tcPr>
            <w:tcW w:w="2180" w:type="dxa"/>
            <w:vAlign w:val="center"/>
          </w:tcPr>
          <w:p>
            <w:bookmarkStart w:id="11" w:name="联系人电话"/>
            <w:r>
              <w:t>15964983835</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卢峰</w:t>
            </w:r>
            <w:bookmarkEnd w:id="13"/>
          </w:p>
        </w:tc>
        <w:tc>
          <w:tcPr>
            <w:tcW w:w="1313" w:type="dxa"/>
            <w:vAlign w:val="center"/>
          </w:tcPr>
          <w:p>
            <w:r>
              <w:rPr>
                <w:rFonts w:hint="eastAsia"/>
              </w:rPr>
              <w:t>管理者代表</w:t>
            </w:r>
          </w:p>
        </w:tc>
        <w:tc>
          <w:tcPr>
            <w:tcW w:w="2180" w:type="dxa"/>
          </w:tcPr>
          <w:p>
            <w:bookmarkStart w:id="14" w:name="管理者代表"/>
            <w:r>
              <w:t>卢敬东</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ascii="宋体" w:hAnsi="宋体"/>
                <w:b/>
                <w:sz w:val="21"/>
                <w:szCs w:val="21"/>
              </w:rPr>
              <w:t>■</w:t>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default" w:eastAsia="宋体"/>
                <w:lang w:val="en-US" w:eastAsia="zh-CN"/>
              </w:rPr>
            </w:pPr>
            <w:r>
              <w:rPr>
                <w:rFonts w:hint="eastAsia"/>
              </w:rPr>
              <w:t>确认受审核方管理体系覆盖的查产品范围与现场运作情况是否一致；</w:t>
            </w:r>
            <w:r>
              <w:rPr>
                <w:rFonts w:hint="eastAsia"/>
                <w:lang w:val="en-US" w:eastAsia="zh-CN"/>
              </w:rPr>
              <w:t xml:space="preserve"> 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2"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drawing>
                <wp:anchor distT="0" distB="0" distL="114300" distR="114300" simplePos="0" relativeHeight="251662336" behindDoc="0" locked="0" layoutInCell="1" allowOverlap="1">
                  <wp:simplePos x="0" y="0"/>
                  <wp:positionH relativeFrom="column">
                    <wp:posOffset>92075</wp:posOffset>
                  </wp:positionH>
                  <wp:positionV relativeFrom="paragraph">
                    <wp:posOffset>278130</wp:posOffset>
                  </wp:positionV>
                  <wp:extent cx="4573905" cy="1798955"/>
                  <wp:effectExtent l="0" t="0" r="17145" b="1079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573905" cy="1798955"/>
                          </a:xfrm>
                          <a:prstGeom prst="rect">
                            <a:avLst/>
                          </a:prstGeom>
                          <a:noFill/>
                          <a:ln>
                            <a:noFill/>
                          </a:ln>
                        </pic:spPr>
                      </pic:pic>
                    </a:graphicData>
                  </a:graphic>
                </wp:anchor>
              </w:drawing>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2022年02月28日 下午至2022年03月02日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val="de-DE"/>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lang w:val="de-DE"/>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人力手推车、车载行李架及五金附件的生产</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17.12.05;18.02.02;22.03.02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vAlign w:val="top"/>
          </w:tcPr>
          <w:p>
            <w:pPr>
              <w:rPr>
                <w:color w:val="auto"/>
              </w:rPr>
            </w:pPr>
            <w:r>
              <w:rPr>
                <w:rFonts w:hint="eastAsia"/>
                <w:color w:val="auto"/>
                <w:lang w:val="en-US" w:eastAsia="zh-CN"/>
              </w:rPr>
              <w:t>2021</w:t>
            </w:r>
            <w:r>
              <w:rPr>
                <w:rFonts w:hint="eastAsia"/>
                <w:color w:val="auto"/>
              </w:rPr>
              <w:t>年</w:t>
            </w:r>
            <w:r>
              <w:rPr>
                <w:rFonts w:hint="eastAsia"/>
                <w:color w:val="auto"/>
                <w:lang w:val="en-US" w:eastAsia="zh-CN"/>
              </w:rPr>
              <w:t>9</w:t>
            </w:r>
            <w:r>
              <w:rPr>
                <w:rFonts w:hint="eastAsia"/>
                <w:color w:val="auto"/>
              </w:rPr>
              <w:t>月</w:t>
            </w:r>
            <w:r>
              <w:rPr>
                <w:rFonts w:hint="eastAsia"/>
                <w:color w:val="auto"/>
                <w:lang w:val="en-US" w:eastAsia="zh-CN"/>
              </w:rPr>
              <w:t>1</w:t>
            </w:r>
            <w:r>
              <w:rPr>
                <w:rFonts w:hint="eastAsia"/>
                <w:color w:val="auto"/>
              </w:rPr>
              <w:t>日</w:t>
            </w:r>
          </w:p>
          <w:p/>
        </w:tc>
        <w:tc>
          <w:tcPr>
            <w:tcW w:w="1883" w:type="dxa"/>
            <w:vAlign w:val="center"/>
          </w:tcPr>
          <w:p>
            <w:r>
              <w:rPr>
                <w:rFonts w:hint="eastAsia"/>
              </w:rPr>
              <w:t>管理体系运行已超过3个月</w:t>
            </w:r>
          </w:p>
        </w:tc>
        <w:tc>
          <w:tcPr>
            <w:tcW w:w="3215" w:type="dxa"/>
            <w:vAlign w:val="center"/>
          </w:tcPr>
          <w:p>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2022</w:t>
            </w:r>
            <w:r>
              <w:rPr>
                <w:rFonts w:hint="eastAsia"/>
              </w:rPr>
              <w:t>年</w:t>
            </w:r>
            <w:r>
              <w:rPr>
                <w:rFonts w:hint="eastAsia"/>
                <w:lang w:val="en-US" w:eastAsia="zh-CN"/>
              </w:rPr>
              <w:t>2</w:t>
            </w:r>
            <w:r>
              <w:rPr>
                <w:rFonts w:hint="eastAsia"/>
              </w:rPr>
              <w:t>月</w:t>
            </w:r>
            <w:r>
              <w:rPr>
                <w:rFonts w:hint="eastAsia"/>
                <w:lang w:val="en-US" w:eastAsia="zh-CN"/>
              </w:rPr>
              <w:t>27</w:t>
            </w:r>
            <w:r>
              <w:rPr>
                <w:rFonts w:hint="eastAsia"/>
              </w:rPr>
              <w:t>日</w:t>
            </w:r>
          </w:p>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r>
              <w:t>青岛鑫华荣昌工贸有限公司</w:t>
            </w:r>
          </w:p>
          <w:p>
            <w:pPr>
              <w:pStyle w:val="2"/>
              <w:rPr>
                <w:lang w:val="de-DE" w:eastAsia="ja-JP"/>
              </w:rPr>
            </w:pPr>
            <w:r>
              <w:rPr>
                <w:rFonts w:asciiTheme="minorEastAsia" w:hAnsiTheme="minorEastAsia" w:eastAsiaTheme="minorEastAsia"/>
                <w:sz w:val="20"/>
              </w:rPr>
              <w:t>山东省青岛市黄岛区铁山街道办事处背儿山路6397号</w:t>
            </w:r>
          </w:p>
        </w:tc>
        <w:tc>
          <w:tcPr>
            <w:tcW w:w="2267" w:type="dxa"/>
          </w:tcPr>
          <w:p>
            <w:pPr>
              <w:rPr>
                <w:lang w:val="de-DE" w:eastAsia="ja-JP"/>
              </w:rPr>
            </w:pPr>
            <w:r>
              <w:rPr>
                <w:rFonts w:asciiTheme="minorEastAsia" w:hAnsiTheme="minorEastAsia" w:eastAsiaTheme="minorEastAsia"/>
                <w:sz w:val="20"/>
              </w:rPr>
              <w:t>山东省青岛市黄岛区铁山街道办事处背儿山路6397号</w:t>
            </w:r>
            <w:bookmarkStart w:id="34" w:name="_GoBack"/>
            <w:bookmarkEnd w:id="34"/>
          </w:p>
        </w:tc>
        <w:tc>
          <w:tcPr>
            <w:tcW w:w="571" w:type="dxa"/>
            <w:vAlign w:val="center"/>
          </w:tcPr>
          <w:p>
            <w:pPr>
              <w:rPr>
                <w:rFonts w:hint="default" w:eastAsia="宋体"/>
                <w:lang w:val="en-US" w:eastAsia="zh-CN"/>
              </w:rPr>
            </w:pPr>
            <w:r>
              <w:rPr>
                <w:rFonts w:hint="eastAsia"/>
                <w:lang w:val="en-US" w:eastAsia="zh-CN"/>
              </w:rPr>
              <w:t>25</w:t>
            </w:r>
          </w:p>
        </w:tc>
        <w:tc>
          <w:tcPr>
            <w:tcW w:w="2803" w:type="dxa"/>
            <w:vAlign w:val="center"/>
          </w:tcPr>
          <w:p>
            <w:pPr>
              <w:rPr>
                <w:lang w:eastAsia="ja-JP"/>
              </w:rPr>
            </w:pPr>
            <w:r>
              <w:rPr>
                <w:sz w:val="20"/>
              </w:rPr>
              <w:t>人力手推车、车载行李架及五金附件的生产</w:t>
            </w:r>
          </w:p>
        </w:tc>
        <w:tc>
          <w:tcPr>
            <w:tcW w:w="669" w:type="dxa"/>
            <w:vAlign w:val="center"/>
          </w:tcPr>
          <w:p>
            <w:pPr>
              <w:rPr>
                <w:lang w:eastAsia="ja-JP"/>
              </w:rPr>
            </w:pPr>
            <w:r>
              <w:rPr>
                <w:rFonts w:hint="eastAsia" w:ascii="宋体" w:hAnsi="宋体"/>
                <w:b w:val="0"/>
                <w:bCs/>
                <w:sz w:val="21"/>
                <w:szCs w:val="21"/>
              </w:rPr>
              <w:t>GB/T19001-2016</w:t>
            </w: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汪桂丽</w:t>
            </w:r>
          </w:p>
        </w:tc>
        <w:tc>
          <w:tcPr>
            <w:tcW w:w="1089" w:type="dxa"/>
            <w:vAlign w:val="center"/>
          </w:tcPr>
          <w:p>
            <w:r>
              <w:t>组长</w:t>
            </w:r>
          </w:p>
        </w:tc>
        <w:tc>
          <w:tcPr>
            <w:tcW w:w="711" w:type="dxa"/>
            <w:vAlign w:val="center"/>
          </w:tcPr>
          <w:p>
            <w:r>
              <w:t>女</w:t>
            </w:r>
          </w:p>
        </w:tc>
        <w:tc>
          <w:tcPr>
            <w:tcW w:w="3870" w:type="dxa"/>
            <w:vAlign w:val="center"/>
          </w:tcPr>
          <w:p>
            <w:r>
              <w:t>2021-N1QMS-6043149</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杨尧耀</w:t>
            </w:r>
          </w:p>
        </w:tc>
        <w:tc>
          <w:tcPr>
            <w:tcW w:w="1089" w:type="dxa"/>
            <w:vAlign w:val="center"/>
          </w:tcPr>
          <w:p>
            <w:r>
              <w:t>组员</w:t>
            </w:r>
          </w:p>
        </w:tc>
        <w:tc>
          <w:tcPr>
            <w:tcW w:w="711" w:type="dxa"/>
            <w:vAlign w:val="center"/>
          </w:tcPr>
          <w:p>
            <w:r>
              <w:t>男</w:t>
            </w:r>
          </w:p>
        </w:tc>
        <w:tc>
          <w:tcPr>
            <w:tcW w:w="3870" w:type="dxa"/>
            <w:vAlign w:val="center"/>
          </w:tcPr>
          <w:p>
            <w:r>
              <w:t>ISC-JSZJ-495</w:t>
            </w:r>
          </w:p>
          <w:p>
            <w:r>
              <w:t>青岛东方工业品（集团）有限公司</w:t>
            </w:r>
          </w:p>
        </w:tc>
        <w:tc>
          <w:tcPr>
            <w:tcW w:w="2179" w:type="dxa"/>
            <w:vAlign w:val="center"/>
          </w:tcPr>
          <w:p>
            <w:r>
              <w:t>17.12.05,18.02.02,22.03.02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2464" w:type="dxa"/>
            <w:vAlign w:val="center"/>
          </w:tcPr>
          <w:p>
            <w:r>
              <w:rPr>
                <w:rFonts w:hint="eastAsia"/>
              </w:rPr>
              <w:t>多场所地址变更</w:t>
            </w:r>
          </w:p>
        </w:tc>
        <w:tc>
          <w:tcPr>
            <w:tcW w:w="7412" w:type="dxa"/>
          </w:tcPr>
          <w:p>
            <w:pPr>
              <w:rPr>
                <w:rFonts w:hint="default" w:eastAsia="宋体"/>
                <w:lang w:val="en-US" w:eastAsia="zh-CN"/>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已整改，合格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rPr>
              <w:t>所有被抽样到的、被评审过的工作记录都是真实的。</w:t>
            </w:r>
          </w:p>
          <w:p>
            <w:pPr>
              <w:rPr>
                <w:rFonts w:ascii="Times New Roman" w:hAnsi="Times New Roman" w:eastAsia="宋体" w:cs="Times New Roman"/>
                <w:kern w:val="2"/>
                <w:sz w:val="21"/>
                <w:szCs w:val="24"/>
                <w:lang w:val="en-GB" w:eastAsia="zh-CN" w:bidi="ar-SA"/>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ascii="Times New Roman" w:hAnsi="Times New Roman" w:eastAsia="宋体" w:cs="Times New Roman"/>
                <w:kern w:val="2"/>
                <w:sz w:val="21"/>
                <w:szCs w:val="24"/>
                <w:lang w:val="en-GB" w:eastAsia="zh-CN" w:bidi="ar-SA"/>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r>
        <w:rPr>
          <w:rFonts w:hint="eastAsia"/>
        </w:rPr>
        <w:t>九、是否达到审核目的</w:t>
      </w:r>
    </w:p>
    <w:p>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1</w:t>
            </w:r>
          </w:p>
        </w:tc>
        <w:tc>
          <w:tcPr>
            <w:tcW w:w="1717" w:type="dxa"/>
            <w:vAlign w:val="top"/>
          </w:tcPr>
          <w:p>
            <w:pPr>
              <w:rPr>
                <w:rFonts w:ascii="Times New Roman" w:hAnsi="Times New Roman" w:eastAsia="宋体" w:cs="Times New Roman"/>
                <w:kern w:val="2"/>
                <w:sz w:val="21"/>
                <w:szCs w:val="24"/>
                <w:lang w:val="en-US" w:eastAsia="zh-CN" w:bidi="ar-SA"/>
              </w:rPr>
            </w:pPr>
          </w:p>
        </w:tc>
        <w:tc>
          <w:tcPr>
            <w:tcW w:w="1560"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1</w:t>
            </w:r>
          </w:p>
        </w:tc>
        <w:tc>
          <w:tcPr>
            <w:tcW w:w="2965" w:type="dxa"/>
            <w:vAlign w:val="top"/>
          </w:tcPr>
          <w:p>
            <w:pPr>
              <w:rPr>
                <w:rFonts w:ascii="Times New Roman" w:hAnsi="Times New Roman" w:eastAsia="宋体" w:cs="Times New Roman"/>
                <w:kern w:val="2"/>
                <w:sz w:val="21"/>
                <w:szCs w:val="24"/>
                <w:lang w:val="en-US" w:eastAsia="zh-CN" w:bidi="ar-SA"/>
              </w:rPr>
            </w:pP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sz w:val="20"/>
              </w:rPr>
              <w:t>人力手推车、车载行李架及五金附件的生产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730" w:type="dxa"/>
            <w:vMerge w:val="continue"/>
            <w:shd w:val="clear" w:color="auto" w:fill="auto"/>
          </w:tcPr>
          <w:p/>
        </w:tc>
        <w:tc>
          <w:tcPr>
            <w:tcW w:w="970" w:type="dxa"/>
            <w:shd w:val="clear" w:color="auto" w:fill="auto"/>
          </w:tcPr>
          <w:p>
            <w:r>
              <w:rPr>
                <w:rFonts w:hint="eastAsia"/>
              </w:rPr>
              <w:t>EMS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730" w:type="dxa"/>
            <w:vMerge w:val="continue"/>
            <w:shd w:val="clear" w:color="auto" w:fill="auto"/>
          </w:tcPr>
          <w:p/>
        </w:tc>
        <w:tc>
          <w:tcPr>
            <w:tcW w:w="970" w:type="dxa"/>
            <w:shd w:val="clear" w:color="auto" w:fill="auto"/>
          </w:tcPr>
          <w:p>
            <w:r>
              <w:rPr>
                <w:rFonts w:hint="eastAsia"/>
              </w:rPr>
              <w:t>OHSMS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drawing>
                <wp:anchor distT="0" distB="0" distL="114300" distR="114300" simplePos="0" relativeHeight="251660288" behindDoc="0" locked="0" layoutInCell="1" allowOverlap="1">
                  <wp:simplePos x="0" y="0"/>
                  <wp:positionH relativeFrom="column">
                    <wp:posOffset>-34925</wp:posOffset>
                  </wp:positionH>
                  <wp:positionV relativeFrom="paragraph">
                    <wp:posOffset>-37465</wp:posOffset>
                  </wp:positionV>
                  <wp:extent cx="6477000" cy="7038975"/>
                  <wp:effectExtent l="0" t="0" r="0" b="952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6477000" cy="7038975"/>
                          </a:xfrm>
                          <a:prstGeom prst="rect">
                            <a:avLst/>
                          </a:prstGeom>
                          <a:noFill/>
                          <a:ln>
                            <a:noFill/>
                          </a:ln>
                        </pic:spPr>
                      </pic:pic>
                    </a:graphicData>
                  </a:graphic>
                </wp:anchor>
              </w:drawing>
            </w:r>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947"/>
        <w:gridCol w:w="9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947" w:type="dxa"/>
            <w:shd w:val="clear" w:color="auto" w:fill="C7DAF1" w:themeFill="text2" w:themeFillTint="32"/>
          </w:tcPr>
          <w:p>
            <w:pPr>
              <w:shd w:val="clear" w:color="auto" w:fill="C7DAF1" w:themeFill="text2" w:themeFillTint="32"/>
            </w:pPr>
            <w:r>
              <w:rPr>
                <w:rFonts w:hint="eastAsia"/>
              </w:rPr>
              <w:t>审核周期</w:t>
            </w:r>
          </w:p>
        </w:tc>
        <w:tc>
          <w:tcPr>
            <w:tcW w:w="9015" w:type="dxa"/>
            <w:shd w:val="clear" w:color="auto" w:fill="C7DAF1" w:themeFill="text2" w:themeFillTint="32"/>
          </w:tcPr>
          <w:p>
            <w:pPr>
              <w:shd w:val="clear" w:color="auto" w:fill="C7DAF1" w:themeFill="text2" w:themeFillTint="32"/>
            </w:pPr>
            <w:r>
              <w:rPr>
                <w:rFonts w:hint="eastAsia"/>
              </w:rPr>
              <w:t xml:space="preserve"> ■QMS体系建立以来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947" w:type="dxa"/>
            <w:shd w:val="clear" w:color="auto" w:fill="C7DAF1" w:themeFill="text2" w:themeFillTint="32"/>
          </w:tcPr>
          <w:p>
            <w:pPr>
              <w:shd w:val="clear" w:color="auto" w:fill="C7DAF1" w:themeFill="text2" w:themeFillTint="32"/>
            </w:pPr>
            <w:r>
              <w:rPr>
                <w:rFonts w:hint="eastAsia"/>
              </w:rPr>
              <w:t>体系要素</w:t>
            </w:r>
          </w:p>
        </w:tc>
        <w:tc>
          <w:tcPr>
            <w:tcW w:w="9015"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947" w:type="dxa"/>
            <w:vMerge w:val="restart"/>
            <w:shd w:val="clear" w:color="auto" w:fill="C7DAF1" w:themeFill="text2" w:themeFillTint="32"/>
          </w:tcPr>
          <w:p>
            <w:pPr>
              <w:shd w:val="clear" w:color="auto" w:fill="C7DAF1" w:themeFill="text2" w:themeFillTint="32"/>
            </w:pPr>
            <w:r>
              <w:rPr>
                <w:rFonts w:hint="eastAsia"/>
              </w:rPr>
              <w:t>组织环境</w:t>
            </w:r>
          </w:p>
        </w:tc>
        <w:tc>
          <w:tcPr>
            <w:tcW w:w="9015"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 xml:space="preserve">■法律法规 </w:t>
                  </w:r>
                  <w:r>
                    <w:rPr>
                      <w:rFonts w:hint="eastAsia"/>
                    </w:rPr>
                    <w:sym w:font="Wingdings 2" w:char="00A3"/>
                  </w:r>
                  <w:r>
                    <w:rPr>
                      <w:rFonts w:hint="eastAsia"/>
                    </w:rPr>
                    <w:t xml:space="preserve">技术 ■竞争 ■市场 </w:t>
                  </w:r>
                  <w:r>
                    <w:rPr>
                      <w:rFonts w:hint="eastAsia"/>
                    </w:rPr>
                    <w:sym w:font="Wingdings 2" w:char="00A3"/>
                  </w:r>
                  <w:r>
                    <w:rPr>
                      <w:rFonts w:hint="eastAsia"/>
                    </w:rPr>
                    <w:t xml:space="preserve">文化 </w:t>
                  </w:r>
                  <w:r>
                    <w:rPr>
                      <w:rFonts w:hint="eastAsia"/>
                    </w:rPr>
                    <w:sym w:font="Wingdings 2" w:char="00A3"/>
                  </w:r>
                  <w:r>
                    <w:rPr>
                      <w:rFonts w:hint="eastAsia"/>
                    </w:rPr>
                    <w:t>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 xml:space="preserve">■价值观  </w:t>
                  </w:r>
                  <w:r>
                    <w:rPr>
                      <w:rFonts w:hint="eastAsia"/>
                    </w:rPr>
                    <w:sym w:font="Wingdings 2" w:char="00A3"/>
                  </w:r>
                  <w:r>
                    <w:rPr>
                      <w:rFonts w:hint="eastAsia"/>
                    </w:rPr>
                    <w:t xml:space="preserve">文化  ■知识 </w:t>
                  </w:r>
                  <w:r>
                    <w:rPr>
                      <w:rFonts w:hint="eastAsia"/>
                    </w:rPr>
                    <w:sym w:font="Wingdings 2" w:char="00A3"/>
                  </w:r>
                  <w:r>
                    <w:rPr>
                      <w:rFonts w:hint="eastAsia"/>
                    </w:rPr>
                    <w:t xml:space="preserve">绩效 ■工艺 ■设备 </w:t>
                  </w:r>
                  <w:r>
                    <w:rPr>
                      <w:rFonts w:hint="eastAsia"/>
                    </w:rPr>
                    <w:sym w:font="Wingdings 2" w:char="00A3"/>
                  </w:r>
                  <w:r>
                    <w:rPr>
                      <w:rFonts w:hint="eastAsia"/>
                    </w:rPr>
                    <w:t xml:space="preserve">人员能力 </w:t>
                  </w:r>
                  <w:r>
                    <w:rPr>
                      <w:rFonts w:hint="eastAsia"/>
                    </w:rPr>
                    <w:sym w:font="Wingdings 2" w:char="00A3"/>
                  </w:r>
                  <w:r>
                    <w:rPr>
                      <w:rFonts w:hint="eastAsia"/>
                    </w:rPr>
                    <w:t xml:space="preserve">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■市场拓展 ■设备能力 □人员能力 □检测水平</w:t>
            </w:r>
            <w:r>
              <w:rPr>
                <w:rFonts w:hint="eastAsia"/>
                <w:lang w:val="en-US" w:eastAsia="zh-CN"/>
              </w:rPr>
              <w:t xml:space="preserve"> </w:t>
            </w:r>
            <w:r>
              <w:rPr>
                <w:rFonts w:hint="eastAsia"/>
              </w:rPr>
              <w:t xml:space="preserve">■合同评审 □知识保密 </w:t>
            </w:r>
          </w:p>
          <w:p>
            <w:pPr>
              <w:shd w:val="clear" w:color="auto" w:fill="C7DAF1" w:themeFill="text2" w:themeFillTint="32"/>
              <w:spacing w:before="40" w:after="40"/>
            </w:pPr>
            <w:r>
              <w:rPr>
                <w:rFonts w:hint="eastAsia"/>
              </w:rPr>
              <w:t xml:space="preserve">□新产品设计开发 ■原材料采购 ■外部供方控制 ■生产/服务控制 </w:t>
            </w:r>
            <w:r>
              <w:rPr>
                <w:rFonts w:hint="eastAsia"/>
              </w:rPr>
              <w:sym w:font="Wingdings 2" w:char="00A3"/>
            </w:r>
            <w:r>
              <w:rPr>
                <w:rFonts w:hint="eastAsia"/>
              </w:rPr>
              <w:t>其他</w:t>
            </w:r>
          </w:p>
          <w:p>
            <w:pPr>
              <w:shd w:val="clear" w:color="auto" w:fill="C7DAF1" w:themeFill="text2" w:themeFillTint="32"/>
              <w:spacing w:before="40" w:after="40"/>
              <w:rPr>
                <w:rFonts w:hint="default" w:eastAsia="宋体"/>
                <w:b/>
                <w:bCs/>
                <w:lang w:val="en-US" w:eastAsia="zh-CN"/>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r>
              <w:rPr>
                <w:rFonts w:hint="eastAsia"/>
                <w:b/>
                <w:bCs/>
                <w:lang w:val="en-US" w:eastAsia="zh-CN"/>
              </w:rPr>
              <w:t>喷塑、物流运输</w:t>
            </w:r>
          </w:p>
          <w:p>
            <w:pPr>
              <w:shd w:val="clear" w:color="auto" w:fill="C7DAF1" w:themeFill="text2" w:themeFillTint="32"/>
              <w:spacing w:before="40" w:after="40"/>
            </w:pPr>
            <w:r>
              <w:rPr>
                <w:rFonts w:hint="eastAsia"/>
              </w:rPr>
              <w:t xml:space="preserve">□新产品设计开发 □原材料订制 ■生产/服务过程 </w:t>
            </w:r>
            <w:r>
              <w:rPr>
                <w:rFonts w:hint="eastAsia"/>
              </w:rPr>
              <w:sym w:font="Wingdings 2" w:char="00A3"/>
            </w:r>
            <w:r>
              <w:rPr>
                <w:rFonts w:hint="eastAsia"/>
              </w:rPr>
              <w:t>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w:t>
            </w:r>
            <w:r>
              <w:rPr>
                <w:rFonts w:hint="eastAsia"/>
                <w:lang w:val="en-GB" w:eastAsia="zh-CN"/>
              </w:rPr>
              <w:t>、</w:t>
            </w:r>
            <w:r>
              <w:rPr>
                <w:rFonts w:hint="eastAsia"/>
                <w:lang w:val="en-US" w:eastAsia="zh-CN"/>
              </w:rPr>
              <w:t>到货质量检验</w:t>
            </w:r>
            <w:r>
              <w:rPr>
                <w:rFonts w:hint="eastAsia"/>
                <w:lang w:val="en-GB"/>
              </w:rPr>
              <w:t>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947" w:type="dxa"/>
            <w:vMerge w:val="restart"/>
            <w:shd w:val="clear" w:color="auto" w:fill="C7DAF1" w:themeFill="text2" w:themeFillTint="32"/>
          </w:tcPr>
          <w:p>
            <w:pPr>
              <w:shd w:val="clear" w:color="auto" w:fill="C7DAF1" w:themeFill="text2" w:themeFillTint="32"/>
              <w:rPr>
                <w:rFonts w:hint="eastAsia"/>
              </w:rPr>
            </w:pPr>
            <w:r>
              <w:rPr>
                <w:rFonts w:hint="eastAsia"/>
              </w:rPr>
              <w:t>领导</w:t>
            </w:r>
          </w:p>
          <w:p>
            <w:pPr>
              <w:shd w:val="clear" w:color="auto" w:fill="C7DAF1" w:themeFill="text2" w:themeFillTint="32"/>
            </w:pPr>
            <w:r>
              <w:rPr>
                <w:rFonts w:hint="eastAsia"/>
              </w:rPr>
              <w:t>作用</w:t>
            </w:r>
          </w:p>
        </w:tc>
        <w:tc>
          <w:tcPr>
            <w:tcW w:w="9015"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A3"/>
            </w:r>
            <w:r>
              <w:rPr>
                <w:rFonts w:hint="eastAsia"/>
              </w:rPr>
              <w:t xml:space="preserve">以身作则 ■建立机制 </w:t>
            </w:r>
            <w:r>
              <w:rPr>
                <w:rFonts w:hint="eastAsia"/>
              </w:rPr>
              <w:sym w:font="Wingdings 2" w:char="00A3"/>
            </w:r>
            <w:r>
              <w:rPr>
                <w:rFonts w:hint="eastAsia"/>
              </w:rPr>
              <w:t>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ind w:firstLine="420" w:firstLineChars="200"/>
              <w:rPr>
                <w:u w:val="single"/>
              </w:rPr>
            </w:pPr>
            <w:r>
              <w:rPr>
                <w:rFonts w:hint="eastAsia"/>
                <w:lang w:val="en-GB"/>
              </w:rPr>
              <w:t>最高管理者制定了文件化的管理体系方针：</w:t>
            </w:r>
            <w:r>
              <w:rPr>
                <w:rFonts w:hint="eastAsia"/>
                <w:u w:val="single"/>
                <w:lang w:val="en-GB"/>
              </w:rPr>
              <w:t xml:space="preserve"> </w:t>
            </w:r>
            <w:r>
              <w:rPr>
                <w:rFonts w:hint="eastAsia" w:cs="Arial"/>
                <w:b/>
                <w:bCs/>
                <w:color w:val="000000"/>
                <w:sz w:val="21"/>
                <w:szCs w:val="21"/>
                <w:u w:val="single"/>
              </w:rPr>
              <w:t>树质量意识，创卓越品质；坚持科技创新，致力持续改进，不断的为顾客提供满意的产品</w:t>
            </w:r>
          </w:p>
          <w:p>
            <w:pPr>
              <w:shd w:val="clear" w:color="auto" w:fill="C7DAF1" w:themeFill="text2" w:themeFillTint="32"/>
              <w:rPr>
                <w:rFonts w:hint="eastAsia"/>
                <w:lang w:val="en-GB"/>
              </w:rPr>
            </w:pPr>
            <w:r>
              <w:rPr>
                <w:rFonts w:hint="eastAsia"/>
                <w:lang w:val="en-US" w:eastAsia="zh-CN"/>
              </w:rPr>
              <w:t>明确</w:t>
            </w:r>
            <w:r>
              <w:rPr>
                <w:rFonts w:hint="eastAsia"/>
                <w:lang w:val="en-GB"/>
              </w:rPr>
              <w:t>质量方针</w:t>
            </w:r>
            <w:r>
              <w:rPr>
                <w:rFonts w:hint="eastAsia"/>
                <w:lang w:val="en-US" w:eastAsia="zh-CN"/>
              </w:rPr>
              <w:t>释义，符合标准和公司实际，</w:t>
            </w:r>
            <w:r>
              <w:rPr>
                <w:rFonts w:hint="eastAsia"/>
                <w:lang w:val="en-GB"/>
              </w:rPr>
              <w:t>并为质量目标提供了框架。</w:t>
            </w:r>
          </w:p>
          <w:p>
            <w:pPr>
              <w:shd w:val="clear" w:color="auto" w:fill="C7DAF1" w:themeFill="text2" w:themeFillTint="32"/>
            </w:pP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品管部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10077" w:hRule="atLeast"/>
        </w:trPr>
        <w:tc>
          <w:tcPr>
            <w:tcW w:w="947" w:type="dxa"/>
            <w:vMerge w:val="restart"/>
            <w:shd w:val="clear" w:color="auto" w:fill="C7DAF1" w:themeFill="text2" w:themeFillTint="32"/>
          </w:tcPr>
          <w:p>
            <w:pPr>
              <w:shd w:val="clear" w:color="auto" w:fill="C7DAF1" w:themeFill="text2" w:themeFillTint="32"/>
            </w:pPr>
            <w:r>
              <w:rPr>
                <w:rFonts w:hint="eastAsia"/>
                <w:color w:val="0000FF"/>
              </w:rPr>
              <w:t>策划</w:t>
            </w:r>
          </w:p>
        </w:tc>
        <w:tc>
          <w:tcPr>
            <w:tcW w:w="9015"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56"/>
              <w:gridCol w:w="3249"/>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6" w:type="dxa"/>
                </w:tcPr>
                <w:p>
                  <w:pPr>
                    <w:shd w:val="clear" w:color="auto" w:fill="C7DAF1" w:themeFill="text2" w:themeFillTint="32"/>
                  </w:pPr>
                  <w:r>
                    <w:rPr>
                      <w:rFonts w:hint="eastAsia"/>
                    </w:rPr>
                    <w:t>主要</w:t>
                  </w:r>
                  <w:r>
                    <w:rPr>
                      <w:rFonts w:hint="eastAsia"/>
                      <w:highlight w:val="none"/>
                    </w:rPr>
                    <w:t>的风险或机遇描</w:t>
                  </w:r>
                  <w:r>
                    <w:rPr>
                      <w:rFonts w:hint="eastAsia"/>
                    </w:rPr>
                    <w:t>述</w:t>
                  </w:r>
                </w:p>
              </w:tc>
              <w:tc>
                <w:tcPr>
                  <w:tcW w:w="3249"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3556" w:type="dxa"/>
                </w:tcPr>
                <w:p>
                  <w:pPr>
                    <w:keepNext w:val="0"/>
                    <w:keepLines w:val="0"/>
                    <w:pageBreakBefore w:val="0"/>
                    <w:widowControl w:val="0"/>
                    <w:shd w:val="clear" w:color="auto" w:fill="C7DAF1" w:themeFill="text2" w:themeFillTint="32"/>
                    <w:kinsoku/>
                    <w:wordWrap/>
                    <w:overflowPunct/>
                    <w:topLinePunct w:val="0"/>
                    <w:autoSpaceDE/>
                    <w:autoSpaceDN/>
                    <w:bidi w:val="0"/>
                    <w:adjustRightInd/>
                    <w:snapToGrid/>
                    <w:spacing w:line="192" w:lineRule="auto"/>
                    <w:textAlignment w:val="auto"/>
                    <w:rPr>
                      <w:rFonts w:hint="default"/>
                      <w:b/>
                      <w:bCs/>
                      <w:sz w:val="18"/>
                      <w:szCs w:val="18"/>
                      <w:lang w:val="en-US" w:eastAsia="zh-CN"/>
                    </w:rPr>
                  </w:pPr>
                  <w:r>
                    <w:rPr>
                      <w:rFonts w:hint="eastAsia"/>
                      <w:b/>
                      <w:bCs/>
                      <w:sz w:val="18"/>
                      <w:szCs w:val="18"/>
                      <w:lang w:val="en-US" w:eastAsia="zh-CN"/>
                    </w:rPr>
                    <w:t>订单：</w:t>
                  </w:r>
                </w:p>
                <w:p>
                  <w:pPr>
                    <w:keepNext w:val="0"/>
                    <w:keepLines w:val="0"/>
                    <w:pageBreakBefore w:val="0"/>
                    <w:widowControl w:val="0"/>
                    <w:shd w:val="clear" w:color="auto" w:fill="C7DAF1" w:themeFill="text2" w:themeFillTint="32"/>
                    <w:kinsoku/>
                    <w:wordWrap/>
                    <w:overflowPunct/>
                    <w:topLinePunct w:val="0"/>
                    <w:autoSpaceDE/>
                    <w:autoSpaceDN/>
                    <w:bidi w:val="0"/>
                    <w:adjustRightInd/>
                    <w:snapToGrid/>
                    <w:spacing w:line="192" w:lineRule="auto"/>
                    <w:textAlignment w:val="auto"/>
                    <w:rPr>
                      <w:rFonts w:hint="default"/>
                      <w:b w:val="0"/>
                      <w:bCs w:val="0"/>
                      <w:sz w:val="18"/>
                      <w:szCs w:val="18"/>
                      <w:lang w:val="en-US" w:eastAsia="zh-CN"/>
                    </w:rPr>
                  </w:pPr>
                  <w:r>
                    <w:rPr>
                      <w:rFonts w:hint="eastAsia"/>
                      <w:b/>
                      <w:bCs/>
                      <w:sz w:val="18"/>
                      <w:szCs w:val="18"/>
                      <w:lang w:val="en-US" w:eastAsia="zh-CN"/>
                    </w:rPr>
                    <w:t>机遇：</w:t>
                  </w:r>
                  <w:r>
                    <w:rPr>
                      <w:rFonts w:hint="eastAsia"/>
                      <w:b w:val="0"/>
                      <w:bCs w:val="0"/>
                      <w:sz w:val="18"/>
                      <w:szCs w:val="18"/>
                      <w:lang w:val="en-US" w:eastAsia="zh-CN"/>
                    </w:rPr>
                    <w:t>与客户沟通寻求合作机会</w:t>
                  </w:r>
                </w:p>
                <w:p>
                  <w:pPr>
                    <w:keepNext w:val="0"/>
                    <w:keepLines w:val="0"/>
                    <w:pageBreakBefore w:val="0"/>
                    <w:widowControl w:val="0"/>
                    <w:shd w:val="clear" w:color="auto" w:fill="C7DAF1" w:themeFill="text2" w:themeFillTint="32"/>
                    <w:kinsoku/>
                    <w:wordWrap/>
                    <w:overflowPunct/>
                    <w:topLinePunct w:val="0"/>
                    <w:autoSpaceDE/>
                    <w:autoSpaceDN/>
                    <w:bidi w:val="0"/>
                    <w:adjustRightInd/>
                    <w:snapToGrid/>
                    <w:spacing w:line="192" w:lineRule="auto"/>
                    <w:textAlignment w:val="auto"/>
                    <w:rPr>
                      <w:rFonts w:hint="eastAsia"/>
                      <w:b/>
                      <w:bCs/>
                      <w:sz w:val="18"/>
                      <w:szCs w:val="18"/>
                      <w:lang w:val="en-US" w:eastAsia="zh-CN"/>
                    </w:rPr>
                  </w:pPr>
                  <w:r>
                    <w:rPr>
                      <w:rFonts w:hint="eastAsia"/>
                      <w:b/>
                      <w:bCs/>
                      <w:sz w:val="18"/>
                      <w:szCs w:val="18"/>
                      <w:lang w:val="en-US" w:eastAsia="zh-CN"/>
                    </w:rPr>
                    <w:t>风险：</w:t>
                  </w:r>
                </w:p>
                <w:p>
                  <w:pPr>
                    <w:keepNext w:val="0"/>
                    <w:keepLines w:val="0"/>
                    <w:pageBreakBefore w:val="0"/>
                    <w:widowControl w:val="0"/>
                    <w:shd w:val="clear" w:color="auto" w:fill="C7DAF1" w:themeFill="text2" w:themeFillTint="32"/>
                    <w:kinsoku/>
                    <w:wordWrap/>
                    <w:overflowPunct/>
                    <w:topLinePunct w:val="0"/>
                    <w:autoSpaceDE/>
                    <w:autoSpaceDN/>
                    <w:bidi w:val="0"/>
                    <w:adjustRightInd/>
                    <w:snapToGrid/>
                    <w:spacing w:line="192" w:lineRule="auto"/>
                    <w:textAlignment w:val="auto"/>
                    <w:rPr>
                      <w:rFonts w:hint="eastAsia" w:eastAsia="宋体"/>
                      <w:lang w:val="en-US" w:eastAsia="zh-CN"/>
                    </w:rPr>
                  </w:pPr>
                  <w:r>
                    <w:rPr>
                      <w:rFonts w:hint="eastAsia"/>
                      <w:b w:val="0"/>
                      <w:bCs w:val="0"/>
                      <w:sz w:val="18"/>
                      <w:szCs w:val="18"/>
                      <w:lang w:val="en-US" w:eastAsia="zh-CN"/>
                    </w:rPr>
                    <w:t>订单信息评审不准确，影响生产和产品交付</w:t>
                  </w:r>
                </w:p>
              </w:tc>
              <w:tc>
                <w:tcPr>
                  <w:tcW w:w="3249" w:type="dxa"/>
                </w:tcPr>
                <w:p>
                  <w:pPr>
                    <w:keepNext w:val="0"/>
                    <w:keepLines w:val="0"/>
                    <w:pageBreakBefore w:val="0"/>
                    <w:widowControl w:val="0"/>
                    <w:shd w:val="clear" w:color="auto" w:fill="C7DAF1" w:themeFill="text2" w:themeFillTint="32"/>
                    <w:kinsoku/>
                    <w:wordWrap/>
                    <w:overflowPunct/>
                    <w:topLinePunct w:val="0"/>
                    <w:autoSpaceDE/>
                    <w:autoSpaceDN/>
                    <w:bidi w:val="0"/>
                    <w:adjustRightInd/>
                    <w:snapToGrid/>
                    <w:spacing w:line="192" w:lineRule="auto"/>
                    <w:textAlignment w:val="auto"/>
                    <w:rPr>
                      <w:rFonts w:hint="eastAsia"/>
                      <w:b w:val="0"/>
                      <w:bCs w:val="0"/>
                      <w:sz w:val="18"/>
                      <w:szCs w:val="18"/>
                      <w:lang w:val="en-US" w:eastAsia="zh-CN"/>
                    </w:rPr>
                  </w:pPr>
                </w:p>
                <w:p>
                  <w:pPr>
                    <w:keepNext w:val="0"/>
                    <w:keepLines w:val="0"/>
                    <w:pageBreakBefore w:val="0"/>
                    <w:widowControl w:val="0"/>
                    <w:shd w:val="clear" w:color="auto" w:fill="C7DAF1" w:themeFill="text2" w:themeFillTint="32"/>
                    <w:kinsoku/>
                    <w:wordWrap/>
                    <w:overflowPunct/>
                    <w:topLinePunct w:val="0"/>
                    <w:autoSpaceDE/>
                    <w:autoSpaceDN/>
                    <w:bidi w:val="0"/>
                    <w:adjustRightInd/>
                    <w:snapToGrid/>
                    <w:spacing w:line="192" w:lineRule="auto"/>
                    <w:textAlignment w:val="auto"/>
                    <w:rPr>
                      <w:rFonts w:hint="default"/>
                      <w:b w:val="0"/>
                      <w:bCs w:val="0"/>
                      <w:sz w:val="18"/>
                      <w:szCs w:val="18"/>
                      <w:lang w:val="en-US" w:eastAsia="zh-CN"/>
                    </w:rPr>
                  </w:pPr>
                  <w:r>
                    <w:rPr>
                      <w:rFonts w:hint="eastAsia"/>
                      <w:b w:val="0"/>
                      <w:bCs w:val="0"/>
                      <w:sz w:val="18"/>
                      <w:szCs w:val="18"/>
                      <w:lang w:val="en-US" w:eastAsia="zh-CN"/>
                    </w:rPr>
                    <w:t>逐步提高业务量和质量稳定性，认真审核核对订单信息和排期</w:t>
                  </w:r>
                </w:p>
              </w:tc>
              <w:tc>
                <w:tcPr>
                  <w:tcW w:w="1717" w:type="dxa"/>
                </w:tcPr>
                <w:p>
                  <w:pPr>
                    <w:shd w:val="clear" w:color="auto" w:fill="C7DAF1" w:themeFill="text2" w:themeFillTint="32"/>
                    <w:rPr>
                      <w:rFonts w:hint="default" w:eastAsia="宋体"/>
                      <w:lang w:val="en-US" w:eastAsia="zh-CN"/>
                    </w:rPr>
                  </w:pPr>
                  <w:r>
                    <w:rPr>
                      <w:rFonts w:hint="eastAsia"/>
                      <w:sz w:val="18"/>
                      <w:szCs w:val="18"/>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3556" w:type="dxa"/>
                </w:tcPr>
                <w:p>
                  <w:pPr>
                    <w:keepNext w:val="0"/>
                    <w:keepLines w:val="0"/>
                    <w:pageBreakBefore w:val="0"/>
                    <w:widowControl w:val="0"/>
                    <w:shd w:val="clear" w:color="auto" w:fill="C7DAF1" w:themeFill="text2" w:themeFillTint="32"/>
                    <w:kinsoku/>
                    <w:wordWrap/>
                    <w:overflowPunct/>
                    <w:topLinePunct w:val="0"/>
                    <w:autoSpaceDE/>
                    <w:autoSpaceDN/>
                    <w:bidi w:val="0"/>
                    <w:adjustRightInd/>
                    <w:snapToGrid/>
                    <w:spacing w:line="192" w:lineRule="auto"/>
                    <w:textAlignment w:val="auto"/>
                    <w:rPr>
                      <w:rFonts w:hint="eastAsia"/>
                      <w:b/>
                      <w:bCs/>
                      <w:sz w:val="18"/>
                      <w:szCs w:val="18"/>
                      <w:lang w:val="en-US" w:eastAsia="zh-CN"/>
                    </w:rPr>
                  </w:pPr>
                  <w:r>
                    <w:rPr>
                      <w:rFonts w:hint="eastAsia"/>
                      <w:b/>
                      <w:bCs/>
                      <w:sz w:val="18"/>
                      <w:szCs w:val="18"/>
                      <w:lang w:val="en-US" w:eastAsia="zh-CN"/>
                    </w:rPr>
                    <w:t>来料检查：</w:t>
                  </w:r>
                </w:p>
                <w:p>
                  <w:pPr>
                    <w:shd w:val="clear" w:color="auto" w:fill="C7DAF1" w:themeFill="text2" w:themeFillTint="32"/>
                    <w:rPr>
                      <w:rFonts w:hint="default"/>
                      <w:b w:val="0"/>
                      <w:bCs w:val="0"/>
                      <w:sz w:val="18"/>
                      <w:szCs w:val="18"/>
                      <w:lang w:val="en-US" w:eastAsia="zh-CN"/>
                    </w:rPr>
                  </w:pPr>
                  <w:r>
                    <w:rPr>
                      <w:rFonts w:hint="eastAsia"/>
                      <w:b/>
                      <w:bCs/>
                      <w:sz w:val="18"/>
                      <w:szCs w:val="18"/>
                      <w:lang w:val="en-US" w:eastAsia="zh-CN"/>
                    </w:rPr>
                    <w:t>机遇：</w:t>
                  </w:r>
                  <w:r>
                    <w:rPr>
                      <w:rFonts w:hint="eastAsia"/>
                      <w:b w:val="0"/>
                      <w:bCs w:val="0"/>
                      <w:sz w:val="18"/>
                      <w:szCs w:val="18"/>
                      <w:lang w:val="en-US" w:eastAsia="zh-CN"/>
                    </w:rPr>
                    <w:t>满足需求，可以确保供货稳定，交付准时，产品质量合格率高；</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192" w:lineRule="auto"/>
                    <w:textAlignment w:val="auto"/>
                    <w:rPr>
                      <w:rFonts w:hint="default" w:eastAsia="宋体"/>
                      <w:lang w:val="en-US" w:eastAsia="zh-CN"/>
                    </w:rPr>
                  </w:pPr>
                  <w:r>
                    <w:rPr>
                      <w:rFonts w:hint="eastAsia"/>
                      <w:b/>
                      <w:bCs/>
                      <w:sz w:val="18"/>
                      <w:szCs w:val="18"/>
                      <w:lang w:val="en-US" w:eastAsia="zh-CN"/>
                    </w:rPr>
                    <w:t>风险</w:t>
                  </w:r>
                  <w:r>
                    <w:rPr>
                      <w:rFonts w:hint="eastAsia"/>
                      <w:b w:val="0"/>
                      <w:bCs w:val="0"/>
                      <w:sz w:val="18"/>
                      <w:szCs w:val="18"/>
                      <w:lang w:val="en-US" w:eastAsia="zh-CN"/>
                    </w:rPr>
                    <w:t>：</w:t>
                  </w:r>
                  <w:r>
                    <w:rPr>
                      <w:rFonts w:hint="eastAsia" w:ascii="Times New Roman" w:hAnsi="Times New Roman" w:eastAsia="宋体" w:cs="Times New Roman"/>
                      <w:b w:val="0"/>
                      <w:bCs w:val="0"/>
                      <w:spacing w:val="0"/>
                      <w:kern w:val="2"/>
                      <w:sz w:val="18"/>
                      <w:szCs w:val="18"/>
                      <w:lang w:val="en-US" w:eastAsia="zh-CN" w:bidi="ar-SA"/>
                    </w:rPr>
                    <w:t>外部供方供货不合格，产品质量不</w:t>
                  </w:r>
                  <w:r>
                    <w:rPr>
                      <w:rFonts w:hint="eastAsia" w:cs="Times New Roman"/>
                      <w:b w:val="0"/>
                      <w:bCs w:val="0"/>
                      <w:spacing w:val="0"/>
                      <w:kern w:val="2"/>
                      <w:sz w:val="18"/>
                      <w:szCs w:val="18"/>
                      <w:lang w:val="en-US" w:eastAsia="zh-CN" w:bidi="ar-SA"/>
                    </w:rPr>
                    <w:t>稳定</w:t>
                  </w:r>
                  <w:r>
                    <w:rPr>
                      <w:rFonts w:hint="eastAsia" w:ascii="Times New Roman" w:hAnsi="Times New Roman" w:eastAsia="宋体" w:cs="Times New Roman"/>
                      <w:b w:val="0"/>
                      <w:bCs w:val="0"/>
                      <w:spacing w:val="0"/>
                      <w:kern w:val="2"/>
                      <w:sz w:val="18"/>
                      <w:szCs w:val="18"/>
                      <w:lang w:val="en-US" w:eastAsia="zh-CN" w:bidi="ar-SA"/>
                    </w:rPr>
                    <w:t>，影响后续生产或无法</w:t>
                  </w:r>
                  <w:r>
                    <w:rPr>
                      <w:rFonts w:hint="eastAsia" w:cs="Times New Roman"/>
                      <w:b w:val="0"/>
                      <w:bCs w:val="0"/>
                      <w:spacing w:val="0"/>
                      <w:kern w:val="2"/>
                      <w:sz w:val="18"/>
                      <w:szCs w:val="18"/>
                      <w:lang w:val="en-US" w:eastAsia="zh-CN" w:bidi="ar-SA"/>
                    </w:rPr>
                    <w:t>及时交付</w:t>
                  </w:r>
                  <w:r>
                    <w:rPr>
                      <w:rFonts w:hint="eastAsia" w:ascii="Times New Roman" w:hAnsi="Times New Roman" w:eastAsia="宋体" w:cs="Times New Roman"/>
                      <w:b w:val="0"/>
                      <w:bCs w:val="0"/>
                      <w:spacing w:val="0"/>
                      <w:kern w:val="2"/>
                      <w:sz w:val="18"/>
                      <w:szCs w:val="18"/>
                      <w:lang w:val="en-US" w:eastAsia="zh-CN" w:bidi="ar-SA"/>
                    </w:rPr>
                    <w:t>、</w:t>
                  </w:r>
                  <w:r>
                    <w:rPr>
                      <w:rFonts w:hint="eastAsia" w:cs="Times New Roman"/>
                      <w:b w:val="0"/>
                      <w:bCs w:val="0"/>
                      <w:spacing w:val="0"/>
                      <w:kern w:val="2"/>
                      <w:sz w:val="18"/>
                      <w:szCs w:val="18"/>
                      <w:lang w:val="en-US" w:eastAsia="zh-CN" w:bidi="ar-SA"/>
                    </w:rPr>
                    <w:t>影响产品</w:t>
                  </w:r>
                  <w:r>
                    <w:rPr>
                      <w:rFonts w:hint="eastAsia" w:ascii="Times New Roman" w:hAnsi="Times New Roman" w:eastAsia="宋体" w:cs="Times New Roman"/>
                      <w:b w:val="0"/>
                      <w:bCs w:val="0"/>
                      <w:spacing w:val="0"/>
                      <w:kern w:val="2"/>
                      <w:sz w:val="18"/>
                      <w:szCs w:val="18"/>
                      <w:lang w:val="en-US" w:eastAsia="zh-CN" w:bidi="ar-SA"/>
                    </w:rPr>
                    <w:t>安全</w:t>
                  </w:r>
                </w:p>
              </w:tc>
              <w:tc>
                <w:tcPr>
                  <w:tcW w:w="3249" w:type="dxa"/>
                </w:tcPr>
                <w:p>
                  <w:pPr>
                    <w:pStyle w:val="24"/>
                    <w:numPr>
                      <w:ilvl w:val="0"/>
                      <w:numId w:val="0"/>
                    </w:numPr>
                    <w:ind w:leftChars="0"/>
                    <w:rPr>
                      <w:rFonts w:hint="eastAsia"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kern w:val="2"/>
                      <w:sz w:val="18"/>
                      <w:szCs w:val="18"/>
                      <w:lang w:val="en-US" w:eastAsia="zh-CN" w:bidi="ar-SA"/>
                    </w:rPr>
                    <w:t>对供方质量管理能力进行评价；</w:t>
                  </w:r>
                </w:p>
                <w:p>
                  <w:pPr>
                    <w:shd w:val="clear" w:color="auto" w:fill="C7DAF1" w:themeFill="text2" w:themeFillTint="32"/>
                    <w:rPr>
                      <w:rFonts w:hint="eastAsia"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kern w:val="2"/>
                      <w:sz w:val="18"/>
                      <w:szCs w:val="18"/>
                      <w:lang w:val="en-US" w:eastAsia="zh-CN" w:bidi="ar-SA"/>
                    </w:rPr>
                    <w:t>来料检验，发现有问题时通知供应商改善</w:t>
                  </w:r>
                  <w:r>
                    <w:rPr>
                      <w:rFonts w:hint="eastAsia" w:cs="Times New Roman"/>
                      <w:b w:val="0"/>
                      <w:bCs w:val="0"/>
                      <w:kern w:val="2"/>
                      <w:sz w:val="18"/>
                      <w:szCs w:val="18"/>
                      <w:lang w:val="en-US" w:eastAsia="zh-CN" w:bidi="ar-SA"/>
                    </w:rPr>
                    <w:t>，不合格退货或换货处理</w:t>
                  </w:r>
                  <w:r>
                    <w:rPr>
                      <w:rFonts w:hint="eastAsia" w:ascii="Times New Roman" w:hAnsi="Times New Roman" w:eastAsia="宋体" w:cs="Times New Roman"/>
                      <w:b w:val="0"/>
                      <w:bCs w:val="0"/>
                      <w:kern w:val="2"/>
                      <w:sz w:val="18"/>
                      <w:szCs w:val="18"/>
                      <w:lang w:val="en-US" w:eastAsia="zh-CN" w:bidi="ar-SA"/>
                    </w:rPr>
                    <w:t>；</w:t>
                  </w:r>
                </w:p>
                <w:p>
                  <w:pPr>
                    <w:pStyle w:val="2"/>
                    <w:rPr>
                      <w:rFonts w:hint="default" w:ascii="Times New Roman" w:hAnsi="Times New Roman" w:eastAsia="宋体" w:cs="Times New Roman"/>
                      <w:b w:val="0"/>
                      <w:bCs w:val="0"/>
                      <w:kern w:val="2"/>
                      <w:sz w:val="18"/>
                      <w:szCs w:val="18"/>
                      <w:lang w:val="en-US" w:eastAsia="zh-CN" w:bidi="ar-SA"/>
                    </w:rPr>
                  </w:pPr>
                </w:p>
              </w:tc>
              <w:tc>
                <w:tcPr>
                  <w:tcW w:w="1717" w:type="dxa"/>
                </w:tcPr>
                <w:p>
                  <w:pPr>
                    <w:shd w:val="clear" w:color="auto" w:fill="C7DAF1" w:themeFill="text2" w:themeFillTint="32"/>
                    <w:rPr>
                      <w:rFonts w:hint="default"/>
                      <w:sz w:val="18"/>
                      <w:szCs w:val="18"/>
                      <w:lang w:val="en-US" w:eastAsia="zh-CN"/>
                    </w:rPr>
                  </w:pPr>
                  <w:r>
                    <w:rPr>
                      <w:rFonts w:hint="eastAsia"/>
                      <w:sz w:val="18"/>
                      <w:szCs w:val="18"/>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3556" w:type="dxa"/>
                </w:tcPr>
                <w:p>
                  <w:pPr>
                    <w:pStyle w:val="2"/>
                    <w:keepNext w:val="0"/>
                    <w:keepLines w:val="0"/>
                    <w:pageBreakBefore w:val="0"/>
                    <w:widowControl w:val="0"/>
                    <w:numPr>
                      <w:ilvl w:val="0"/>
                      <w:numId w:val="0"/>
                    </w:numPr>
                    <w:kinsoku/>
                    <w:wordWrap/>
                    <w:overflowPunct/>
                    <w:topLinePunct w:val="0"/>
                    <w:autoSpaceDE/>
                    <w:autoSpaceDN/>
                    <w:bidi w:val="0"/>
                    <w:adjustRightInd/>
                    <w:snapToGrid/>
                    <w:spacing w:line="192" w:lineRule="auto"/>
                    <w:textAlignment w:val="auto"/>
                    <w:rPr>
                      <w:rFonts w:hint="default" w:ascii="Times New Roman" w:hAnsi="Times New Roman" w:eastAsia="宋体" w:cs="Times New Roman"/>
                      <w:b/>
                      <w:bCs/>
                      <w:spacing w:val="0"/>
                      <w:kern w:val="2"/>
                      <w:sz w:val="18"/>
                      <w:szCs w:val="18"/>
                      <w:lang w:val="en-US" w:eastAsia="zh-CN" w:bidi="ar-SA"/>
                    </w:rPr>
                  </w:pPr>
                  <w:r>
                    <w:rPr>
                      <w:rFonts w:hint="eastAsia" w:cs="Times New Roman"/>
                      <w:b/>
                      <w:bCs/>
                      <w:spacing w:val="0"/>
                      <w:kern w:val="2"/>
                      <w:sz w:val="18"/>
                      <w:szCs w:val="18"/>
                      <w:lang w:val="en-US" w:eastAsia="zh-CN" w:bidi="ar-SA"/>
                    </w:rPr>
                    <w:t>检验过程</w:t>
                  </w:r>
                  <w:r>
                    <w:rPr>
                      <w:rFonts w:hint="eastAsia" w:ascii="Times New Roman" w:hAnsi="Times New Roman" w:eastAsia="宋体" w:cs="Times New Roman"/>
                      <w:b/>
                      <w:bCs/>
                      <w:spacing w:val="0"/>
                      <w:kern w:val="2"/>
                      <w:sz w:val="18"/>
                      <w:szCs w:val="18"/>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192" w:lineRule="auto"/>
                    <w:textAlignment w:val="auto"/>
                    <w:rPr>
                      <w:rFonts w:hint="eastAsia" w:ascii="Times New Roman" w:hAnsi="Times New Roman" w:eastAsia="宋体" w:cs="Times New Roman"/>
                      <w:b w:val="0"/>
                      <w:bCs w:val="0"/>
                      <w:spacing w:val="0"/>
                      <w:kern w:val="2"/>
                      <w:sz w:val="18"/>
                      <w:szCs w:val="18"/>
                      <w:lang w:val="en-US" w:eastAsia="zh-CN" w:bidi="ar-SA"/>
                    </w:rPr>
                  </w:pPr>
                  <w:r>
                    <w:rPr>
                      <w:rFonts w:hint="eastAsia" w:ascii="Times New Roman" w:hAnsi="Times New Roman" w:eastAsia="宋体" w:cs="Times New Roman"/>
                      <w:b/>
                      <w:bCs/>
                      <w:spacing w:val="0"/>
                      <w:kern w:val="2"/>
                      <w:sz w:val="18"/>
                      <w:szCs w:val="18"/>
                      <w:lang w:val="en-US" w:eastAsia="zh-CN" w:bidi="ar-SA"/>
                    </w:rPr>
                    <w:t>机遇：</w:t>
                  </w:r>
                  <w:r>
                    <w:rPr>
                      <w:rFonts w:hint="eastAsia" w:ascii="Times New Roman" w:hAnsi="Times New Roman" w:eastAsia="宋体" w:cs="Times New Roman"/>
                      <w:b w:val="0"/>
                      <w:bCs w:val="0"/>
                      <w:spacing w:val="0"/>
                      <w:kern w:val="2"/>
                      <w:sz w:val="18"/>
                      <w:szCs w:val="18"/>
                      <w:lang w:val="en-US" w:eastAsia="zh-CN" w:bidi="ar-SA"/>
                    </w:rPr>
                    <w:t>产品质量不稳定，公司积极</w:t>
                  </w:r>
                  <w:r>
                    <w:rPr>
                      <w:rFonts w:hint="eastAsia" w:cs="Times New Roman"/>
                      <w:b w:val="0"/>
                      <w:bCs w:val="0"/>
                      <w:spacing w:val="0"/>
                      <w:kern w:val="2"/>
                      <w:sz w:val="18"/>
                      <w:szCs w:val="18"/>
                      <w:lang w:val="en-US" w:eastAsia="zh-CN" w:bidi="ar-SA"/>
                    </w:rPr>
                    <w:t>采取</w:t>
                  </w:r>
                  <w:r>
                    <w:rPr>
                      <w:rFonts w:hint="eastAsia" w:ascii="Times New Roman" w:hAnsi="Times New Roman" w:eastAsia="宋体" w:cs="Times New Roman"/>
                      <w:b w:val="0"/>
                      <w:bCs w:val="0"/>
                      <w:spacing w:val="0"/>
                      <w:kern w:val="2"/>
                      <w:sz w:val="18"/>
                      <w:szCs w:val="18"/>
                      <w:lang w:val="en-US" w:eastAsia="zh-CN" w:bidi="ar-SA"/>
                    </w:rPr>
                    <w:t>新</w:t>
                  </w:r>
                  <w:r>
                    <w:rPr>
                      <w:rFonts w:hint="eastAsia" w:cs="Times New Roman"/>
                      <w:b w:val="0"/>
                      <w:bCs w:val="0"/>
                      <w:spacing w:val="0"/>
                      <w:kern w:val="2"/>
                      <w:sz w:val="18"/>
                      <w:szCs w:val="18"/>
                      <w:lang w:val="en-US" w:eastAsia="zh-CN" w:bidi="ar-SA"/>
                    </w:rPr>
                    <w:t>措施有效改进</w:t>
                  </w:r>
                  <w:r>
                    <w:rPr>
                      <w:rFonts w:hint="eastAsia" w:ascii="Times New Roman" w:hAnsi="Times New Roman" w:eastAsia="宋体" w:cs="Times New Roman"/>
                      <w:b w:val="0"/>
                      <w:bCs w:val="0"/>
                      <w:spacing w:val="0"/>
                      <w:kern w:val="2"/>
                      <w:sz w:val="18"/>
                      <w:szCs w:val="18"/>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192" w:lineRule="auto"/>
                    <w:textAlignment w:val="auto"/>
                    <w:rPr>
                      <w:rFonts w:hint="eastAsia" w:eastAsia="宋体"/>
                      <w:lang w:val="en-US" w:eastAsia="zh-CN"/>
                    </w:rPr>
                  </w:pPr>
                  <w:r>
                    <w:rPr>
                      <w:rFonts w:hint="eastAsia" w:ascii="Times New Roman" w:hAnsi="Times New Roman" w:eastAsia="宋体" w:cs="Times New Roman"/>
                      <w:b/>
                      <w:bCs/>
                      <w:spacing w:val="0"/>
                      <w:kern w:val="2"/>
                      <w:sz w:val="18"/>
                      <w:szCs w:val="18"/>
                      <w:lang w:val="en-US" w:eastAsia="zh-CN" w:bidi="ar-SA"/>
                    </w:rPr>
                    <w:t>风险：</w:t>
                  </w:r>
                  <w:r>
                    <w:rPr>
                      <w:rFonts w:hint="eastAsia" w:ascii="Times New Roman" w:hAnsi="Times New Roman" w:eastAsia="宋体" w:cs="Times New Roman"/>
                      <w:b w:val="0"/>
                      <w:bCs w:val="0"/>
                      <w:spacing w:val="0"/>
                      <w:kern w:val="2"/>
                      <w:sz w:val="18"/>
                      <w:szCs w:val="18"/>
                      <w:lang w:val="en-US" w:eastAsia="zh-CN" w:bidi="ar-SA"/>
                    </w:rPr>
                    <w:t>产品质量不稳定</w:t>
                  </w:r>
                  <w:r>
                    <w:rPr>
                      <w:rFonts w:hint="eastAsia" w:cs="Times New Roman"/>
                      <w:b w:val="0"/>
                      <w:bCs w:val="0"/>
                      <w:spacing w:val="0"/>
                      <w:kern w:val="2"/>
                      <w:sz w:val="18"/>
                      <w:szCs w:val="18"/>
                      <w:lang w:val="en-US" w:eastAsia="zh-CN" w:bidi="ar-SA"/>
                    </w:rPr>
                    <w:t>或不合格</w:t>
                  </w:r>
                  <w:r>
                    <w:rPr>
                      <w:rFonts w:hint="eastAsia" w:ascii="Times New Roman" w:hAnsi="Times New Roman" w:eastAsia="宋体" w:cs="Times New Roman"/>
                      <w:b w:val="0"/>
                      <w:bCs w:val="0"/>
                      <w:spacing w:val="0"/>
                      <w:kern w:val="2"/>
                      <w:sz w:val="18"/>
                      <w:szCs w:val="18"/>
                      <w:lang w:val="en-US" w:eastAsia="zh-CN" w:bidi="ar-SA"/>
                    </w:rPr>
                    <w:t>，造成成本损失或造成订单数量不够，影响交货；</w:t>
                  </w:r>
                </w:p>
              </w:tc>
              <w:tc>
                <w:tcPr>
                  <w:tcW w:w="3249" w:type="dxa"/>
                </w:tcPr>
                <w:p>
                  <w:pPr>
                    <w:keepNext w:val="0"/>
                    <w:keepLines w:val="0"/>
                    <w:pageBreakBefore w:val="0"/>
                    <w:widowControl w:val="0"/>
                    <w:shd w:val="clear" w:color="auto" w:fill="C7DAF1" w:themeFill="text2" w:themeFillTint="32"/>
                    <w:kinsoku/>
                    <w:wordWrap/>
                    <w:overflowPunct/>
                    <w:topLinePunct w:val="0"/>
                    <w:autoSpaceDE/>
                    <w:autoSpaceDN/>
                    <w:bidi w:val="0"/>
                    <w:adjustRightInd/>
                    <w:snapToGrid/>
                    <w:spacing w:line="192" w:lineRule="auto"/>
                    <w:textAlignment w:val="auto"/>
                    <w:rPr>
                      <w:rFonts w:hint="eastAsia"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kern w:val="2"/>
                      <w:sz w:val="18"/>
                      <w:szCs w:val="18"/>
                      <w:lang w:val="en-US" w:eastAsia="zh-CN" w:bidi="ar-SA"/>
                    </w:rPr>
                    <w:t>从供方、过程及交付严格控制，并对产品进行抽样检验；</w:t>
                  </w:r>
                </w:p>
                <w:p>
                  <w:pPr>
                    <w:keepNext w:val="0"/>
                    <w:keepLines w:val="0"/>
                    <w:pageBreakBefore w:val="0"/>
                    <w:widowControl w:val="0"/>
                    <w:shd w:val="clear" w:color="auto" w:fill="C7DAF1" w:themeFill="text2" w:themeFillTint="32"/>
                    <w:kinsoku/>
                    <w:wordWrap/>
                    <w:overflowPunct/>
                    <w:topLinePunct w:val="0"/>
                    <w:autoSpaceDE/>
                    <w:autoSpaceDN/>
                    <w:bidi w:val="0"/>
                    <w:adjustRightInd/>
                    <w:snapToGrid/>
                    <w:spacing w:line="192" w:lineRule="auto"/>
                    <w:textAlignment w:val="auto"/>
                    <w:rPr>
                      <w:rFonts w:hint="default" w:ascii="Times New Roman" w:hAnsi="Times New Roman" w:eastAsia="宋体" w:cs="Times New Roman"/>
                      <w:b w:val="0"/>
                      <w:bCs w:val="0"/>
                      <w:kern w:val="2"/>
                      <w:sz w:val="18"/>
                      <w:szCs w:val="18"/>
                      <w:lang w:val="en-US" w:eastAsia="zh-CN" w:bidi="ar-SA"/>
                    </w:rPr>
                  </w:pPr>
                  <w:r>
                    <w:rPr>
                      <w:rFonts w:hint="eastAsia" w:cs="Times New Roman"/>
                      <w:b w:val="0"/>
                      <w:bCs w:val="0"/>
                      <w:kern w:val="2"/>
                      <w:sz w:val="18"/>
                      <w:szCs w:val="18"/>
                      <w:lang w:val="en-US" w:eastAsia="zh-CN" w:bidi="ar-SA"/>
                    </w:rPr>
                    <w:t>严格执行</w:t>
                  </w:r>
                  <w:r>
                    <w:rPr>
                      <w:rFonts w:hint="eastAsia" w:ascii="Times New Roman" w:hAnsi="Times New Roman" w:eastAsia="宋体" w:cs="Times New Roman"/>
                      <w:b w:val="0"/>
                      <w:bCs w:val="0"/>
                      <w:kern w:val="2"/>
                      <w:sz w:val="18"/>
                      <w:szCs w:val="18"/>
                      <w:lang w:val="en-US" w:eastAsia="zh-CN" w:bidi="ar-SA"/>
                    </w:rPr>
                    <w:t>作业指导文件</w:t>
                  </w:r>
                  <w:r>
                    <w:rPr>
                      <w:rFonts w:hint="eastAsia" w:cs="Times New Roman"/>
                      <w:b w:val="0"/>
                      <w:bCs w:val="0"/>
                      <w:kern w:val="2"/>
                      <w:sz w:val="18"/>
                      <w:szCs w:val="18"/>
                      <w:lang w:val="en-US" w:eastAsia="zh-CN" w:bidi="ar-SA"/>
                    </w:rPr>
                    <w:t>，由</w:t>
                  </w:r>
                  <w:r>
                    <w:rPr>
                      <w:rFonts w:hint="eastAsia" w:ascii="Times New Roman" w:hAnsi="Times New Roman" w:eastAsia="宋体" w:cs="Times New Roman"/>
                      <w:b w:val="0"/>
                      <w:bCs w:val="0"/>
                      <w:kern w:val="2"/>
                      <w:sz w:val="18"/>
                      <w:szCs w:val="18"/>
                      <w:lang w:val="en-US" w:eastAsia="zh-CN" w:bidi="ar-SA"/>
                    </w:rPr>
                    <w:t>质检与工艺技术人员逐一核对无误后再受控使用；</w:t>
                  </w:r>
                </w:p>
              </w:tc>
              <w:tc>
                <w:tcPr>
                  <w:tcW w:w="1717" w:type="dxa"/>
                </w:tcPr>
                <w:p>
                  <w:pPr>
                    <w:shd w:val="clear" w:color="auto" w:fill="C7DAF1" w:themeFill="text2" w:themeFillTint="32"/>
                    <w:rPr>
                      <w:rFonts w:hint="default"/>
                      <w:b/>
                      <w:bCs/>
                      <w:lang w:val="en-US" w:eastAsia="zh-CN"/>
                    </w:rPr>
                  </w:pPr>
                  <w:r>
                    <w:rPr>
                      <w:rFonts w:hint="eastAsia" w:ascii="Times New Roman" w:hAnsi="Times New Roman" w:eastAsia="宋体" w:cs="Times New Roman"/>
                      <w:b w:val="0"/>
                      <w:bCs w:val="0"/>
                      <w:spacing w:val="10"/>
                      <w:kern w:val="2"/>
                      <w:sz w:val="18"/>
                      <w:szCs w:val="18"/>
                      <w:lang w:val="en-US" w:eastAsia="zh-CN" w:bidi="ar-S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trPr>
              <w:tc>
                <w:tcPr>
                  <w:tcW w:w="3556" w:type="dxa"/>
                  <w:vAlign w:val="center"/>
                </w:tcPr>
                <w:p>
                  <w:pPr>
                    <w:rPr>
                      <w:rFonts w:hint="eastAsia" w:eastAsia="宋体"/>
                      <w:b/>
                      <w:bCs w:val="0"/>
                      <w:sz w:val="18"/>
                      <w:szCs w:val="18"/>
                      <w:lang w:eastAsia="zh-CN"/>
                    </w:rPr>
                  </w:pPr>
                  <w:r>
                    <w:rPr>
                      <w:rFonts w:hint="eastAsia"/>
                      <w:b/>
                      <w:bCs w:val="0"/>
                      <w:sz w:val="18"/>
                      <w:szCs w:val="18"/>
                    </w:rPr>
                    <w:t>文件管理过程</w:t>
                  </w:r>
                  <w:r>
                    <w:rPr>
                      <w:rFonts w:hint="eastAsia"/>
                      <w:b/>
                      <w:bCs w:val="0"/>
                      <w:sz w:val="18"/>
                      <w:szCs w:val="18"/>
                      <w:lang w:eastAsia="zh-CN"/>
                    </w:rPr>
                    <w:t>：</w:t>
                  </w:r>
                </w:p>
                <w:p>
                  <w:pPr>
                    <w:rPr>
                      <w:rFonts w:hint="default" w:eastAsia="宋体"/>
                      <w:sz w:val="18"/>
                      <w:szCs w:val="18"/>
                      <w:lang w:val="en-US" w:eastAsia="zh-CN"/>
                    </w:rPr>
                  </w:pPr>
                  <w:r>
                    <w:rPr>
                      <w:rFonts w:hint="eastAsia"/>
                      <w:b/>
                      <w:sz w:val="18"/>
                      <w:szCs w:val="18"/>
                    </w:rPr>
                    <w:t>机遇：</w:t>
                  </w:r>
                  <w:r>
                    <w:rPr>
                      <w:rFonts w:hint="eastAsia"/>
                      <w:sz w:val="18"/>
                      <w:szCs w:val="18"/>
                      <w:lang w:val="en-US" w:eastAsia="zh-CN"/>
                    </w:rPr>
                    <w:t>进一步理顺和改进提高</w:t>
                  </w:r>
                </w:p>
                <w:p>
                  <w:pPr>
                    <w:rPr>
                      <w:rFonts w:hint="default" w:ascii="Times New Roman" w:hAnsi="Times New Roman" w:eastAsia="宋体" w:cs="Times New Roman"/>
                      <w:kern w:val="2"/>
                      <w:sz w:val="21"/>
                      <w:szCs w:val="24"/>
                      <w:lang w:val="en-US" w:eastAsia="zh-CN" w:bidi="ar-SA"/>
                    </w:rPr>
                  </w:pPr>
                  <w:r>
                    <w:rPr>
                      <w:rFonts w:hint="eastAsia"/>
                      <w:b/>
                      <w:sz w:val="18"/>
                      <w:szCs w:val="18"/>
                    </w:rPr>
                    <w:t>风险</w:t>
                  </w:r>
                  <w:r>
                    <w:rPr>
                      <w:rFonts w:hint="eastAsia"/>
                      <w:b/>
                      <w:sz w:val="18"/>
                      <w:szCs w:val="18"/>
                      <w:lang w:eastAsia="zh-CN"/>
                    </w:rPr>
                    <w:t>：</w:t>
                  </w:r>
                  <w:r>
                    <w:rPr>
                      <w:rFonts w:hint="eastAsia"/>
                      <w:sz w:val="18"/>
                      <w:szCs w:val="18"/>
                      <w:lang w:val="en-US" w:eastAsia="zh-CN"/>
                    </w:rPr>
                    <w:t>管理不当，导致生产产品错误，引起客户投诉；信息外泄存在竞争风险。</w:t>
                  </w:r>
                </w:p>
              </w:tc>
              <w:tc>
                <w:tcPr>
                  <w:tcW w:w="3249" w:type="dxa"/>
                </w:tcPr>
                <w:p>
                  <w:pPr>
                    <w:pStyle w:val="2"/>
                    <w:numPr>
                      <w:ilvl w:val="0"/>
                      <w:numId w:val="0"/>
                    </w:numPr>
                    <w:rPr>
                      <w:rFonts w:hint="default" w:ascii="Times New Roman" w:hAnsi="Times New Roman" w:eastAsia="宋体" w:cs="Times New Roman"/>
                      <w:b w:val="0"/>
                      <w:bCs w:val="0"/>
                      <w:spacing w:val="0"/>
                      <w:kern w:val="2"/>
                      <w:sz w:val="18"/>
                      <w:szCs w:val="18"/>
                      <w:lang w:val="en-US" w:eastAsia="zh-CN" w:bidi="ar-SA"/>
                    </w:rPr>
                  </w:pPr>
                  <w:r>
                    <w:rPr>
                      <w:rFonts w:hint="eastAsia" w:ascii="Times New Roman" w:hAnsi="Times New Roman" w:eastAsia="宋体" w:cs="Times New Roman"/>
                      <w:b w:val="0"/>
                      <w:bCs w:val="0"/>
                      <w:spacing w:val="0"/>
                      <w:kern w:val="2"/>
                      <w:sz w:val="18"/>
                      <w:szCs w:val="18"/>
                      <w:lang w:val="en-US" w:eastAsia="zh-CN" w:bidi="ar-SA"/>
                    </w:rPr>
                    <w:t>严格按文件管理程序执行，认真做好文件保存工作</w:t>
                  </w:r>
                  <w:r>
                    <w:rPr>
                      <w:rFonts w:hint="eastAsia" w:cs="Times New Roman"/>
                      <w:b w:val="0"/>
                      <w:bCs w:val="0"/>
                      <w:spacing w:val="0"/>
                      <w:kern w:val="2"/>
                      <w:sz w:val="18"/>
                      <w:szCs w:val="18"/>
                      <w:lang w:val="en-US" w:eastAsia="zh-CN" w:bidi="ar-SA"/>
                    </w:rPr>
                    <w:t>，外来文件及时收集、更新、传递</w:t>
                  </w:r>
                </w:p>
              </w:tc>
              <w:tc>
                <w:tcPr>
                  <w:tcW w:w="1717" w:type="dxa"/>
                </w:tcPr>
                <w:p>
                  <w:pPr>
                    <w:shd w:val="clear" w:color="auto" w:fill="C7DAF1" w:themeFill="text2" w:themeFillTint="32"/>
                    <w:rPr>
                      <w:rFonts w:hint="default" w:eastAsia="宋体"/>
                      <w:sz w:val="18"/>
                      <w:szCs w:val="18"/>
                      <w:lang w:val="en-US" w:eastAsia="zh-CN"/>
                    </w:rPr>
                  </w:pPr>
                  <w:r>
                    <w:rPr>
                      <w:rFonts w:hint="eastAsia"/>
                      <w:sz w:val="18"/>
                      <w:szCs w:val="18"/>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3556" w:type="dxa"/>
                </w:tcPr>
                <w:p>
                  <w:pPr>
                    <w:rPr>
                      <w:rFonts w:hint="eastAsia"/>
                      <w:b/>
                      <w:bCs w:val="0"/>
                      <w:sz w:val="18"/>
                      <w:szCs w:val="18"/>
                      <w:lang w:val="en-US" w:eastAsia="zh-CN"/>
                    </w:rPr>
                  </w:pPr>
                  <w:r>
                    <w:rPr>
                      <w:rFonts w:hint="eastAsia"/>
                      <w:b/>
                      <w:bCs w:val="0"/>
                      <w:sz w:val="18"/>
                      <w:szCs w:val="18"/>
                    </w:rPr>
                    <w:t>交付过程</w:t>
                  </w:r>
                  <w:r>
                    <w:rPr>
                      <w:rFonts w:hint="eastAsia"/>
                      <w:b/>
                      <w:bCs w:val="0"/>
                      <w:sz w:val="18"/>
                      <w:szCs w:val="18"/>
                      <w:lang w:val="en-US" w:eastAsia="zh-CN"/>
                    </w:rPr>
                    <w:t>：</w:t>
                  </w:r>
                </w:p>
                <w:p>
                  <w:pPr>
                    <w:pStyle w:val="2"/>
                    <w:rPr>
                      <w:rFonts w:hint="eastAsia"/>
                      <w:sz w:val="18"/>
                      <w:szCs w:val="18"/>
                      <w:lang w:val="en-US" w:eastAsia="zh-CN"/>
                    </w:rPr>
                  </w:pPr>
                  <w:r>
                    <w:rPr>
                      <w:rFonts w:hint="eastAsia"/>
                      <w:b/>
                      <w:bCs w:val="0"/>
                      <w:sz w:val="18"/>
                      <w:szCs w:val="18"/>
                      <w:lang w:val="en-US" w:eastAsia="zh-CN"/>
                    </w:rPr>
                    <w:t>机遇</w:t>
                  </w:r>
                  <w:r>
                    <w:rPr>
                      <w:rFonts w:hint="eastAsia"/>
                      <w:sz w:val="18"/>
                      <w:szCs w:val="18"/>
                      <w:lang w:val="en-US" w:eastAsia="zh-CN"/>
                    </w:rPr>
                    <w:t>：提高顾客满意吸引客户；</w:t>
                  </w:r>
                </w:p>
                <w:p>
                  <w:pPr>
                    <w:pStyle w:val="2"/>
                    <w:rPr>
                      <w:rFonts w:hint="default"/>
                      <w:sz w:val="18"/>
                      <w:szCs w:val="18"/>
                      <w:lang w:val="en-US" w:eastAsia="zh-CN"/>
                    </w:rPr>
                  </w:pPr>
                  <w:r>
                    <w:rPr>
                      <w:rFonts w:hint="eastAsia"/>
                      <w:b/>
                      <w:bCs w:val="0"/>
                      <w:sz w:val="18"/>
                      <w:szCs w:val="18"/>
                      <w:lang w:val="en-US" w:eastAsia="zh-CN"/>
                    </w:rPr>
                    <w:t>风险：</w:t>
                  </w:r>
                  <w:r>
                    <w:rPr>
                      <w:rFonts w:hint="eastAsia"/>
                      <w:sz w:val="18"/>
                      <w:szCs w:val="18"/>
                      <w:lang w:val="en-US" w:eastAsia="zh-CN"/>
                    </w:rPr>
                    <w:t>出现异常，不能准时交货及顾客抱怨</w:t>
                  </w:r>
                </w:p>
              </w:tc>
              <w:tc>
                <w:tcPr>
                  <w:tcW w:w="3249" w:type="dxa"/>
                  <w:vAlign w:val="center"/>
                </w:tcPr>
                <w:p>
                  <w:pPr>
                    <w:keepNext w:val="0"/>
                    <w:keepLines w:val="0"/>
                    <w:pageBreakBefore w:val="0"/>
                    <w:widowControl w:val="0"/>
                    <w:shd w:val="clear" w:color="auto" w:fill="C7DAF1" w:themeFill="text2" w:themeFillTint="32"/>
                    <w:kinsoku/>
                    <w:wordWrap/>
                    <w:overflowPunct/>
                    <w:topLinePunct w:val="0"/>
                    <w:autoSpaceDE/>
                    <w:autoSpaceDN/>
                    <w:bidi w:val="0"/>
                    <w:adjustRightInd/>
                    <w:snapToGrid/>
                    <w:spacing w:line="192" w:lineRule="auto"/>
                    <w:textAlignment w:val="auto"/>
                    <w:rPr>
                      <w:rFonts w:hint="default" w:ascii="Times New Roman" w:hAnsi="Times New Roman" w:eastAsia="宋体" w:cs="Times New Roman"/>
                      <w:b w:val="0"/>
                      <w:bCs w:val="0"/>
                      <w:spacing w:val="0"/>
                      <w:kern w:val="2"/>
                      <w:sz w:val="18"/>
                      <w:szCs w:val="18"/>
                      <w:lang w:val="en-US" w:eastAsia="zh-CN" w:bidi="ar-SA"/>
                    </w:rPr>
                  </w:pPr>
                  <w:r>
                    <w:rPr>
                      <w:rFonts w:hint="eastAsia" w:cs="Times New Roman"/>
                      <w:b w:val="0"/>
                      <w:bCs w:val="0"/>
                      <w:spacing w:val="0"/>
                      <w:kern w:val="2"/>
                      <w:sz w:val="18"/>
                      <w:szCs w:val="18"/>
                      <w:lang w:val="en-US" w:eastAsia="zh-CN" w:bidi="ar-SA"/>
                    </w:rPr>
                    <w:t>严格执行合同要求，与客户密切沟通，过程检查监督，预防异常情况发生</w:t>
                  </w:r>
                </w:p>
              </w:tc>
              <w:tc>
                <w:tcPr>
                  <w:tcW w:w="1717" w:type="dxa"/>
                </w:tcPr>
                <w:p>
                  <w:pPr>
                    <w:shd w:val="clear" w:color="auto" w:fill="C7DAF1" w:themeFill="text2" w:themeFillTint="32"/>
                    <w:rPr>
                      <w:rFonts w:hint="eastAsia"/>
                      <w:sz w:val="18"/>
                      <w:szCs w:val="18"/>
                      <w:lang w:val="en-US" w:eastAsia="zh-CN"/>
                    </w:rPr>
                  </w:pPr>
                </w:p>
                <w:p>
                  <w:pPr>
                    <w:shd w:val="clear" w:color="auto" w:fill="C7DAF1" w:themeFill="text2" w:themeFillTint="32"/>
                    <w:rPr>
                      <w:rFonts w:hint="default"/>
                      <w:sz w:val="18"/>
                      <w:szCs w:val="18"/>
                      <w:lang w:val="en-US" w:eastAsia="zh-CN"/>
                    </w:rPr>
                  </w:pPr>
                  <w:r>
                    <w:rPr>
                      <w:rFonts w:hint="eastAsia"/>
                      <w:sz w:val="18"/>
                      <w:szCs w:val="18"/>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trPr>
              <w:tc>
                <w:tcPr>
                  <w:tcW w:w="3556" w:type="dxa"/>
                </w:tcPr>
                <w:p>
                  <w:pPr>
                    <w:rPr>
                      <w:rFonts w:hint="default"/>
                      <w:b/>
                      <w:bCs w:val="0"/>
                      <w:sz w:val="18"/>
                      <w:szCs w:val="18"/>
                      <w:lang w:val="en-US" w:eastAsia="zh-CN"/>
                    </w:rPr>
                  </w:pPr>
                  <w:r>
                    <w:rPr>
                      <w:rFonts w:hint="eastAsia"/>
                      <w:b/>
                      <w:bCs w:val="0"/>
                      <w:sz w:val="18"/>
                      <w:szCs w:val="18"/>
                      <w:lang w:val="en-US" w:eastAsia="zh-CN"/>
                    </w:rPr>
                    <w:t>生产过程控制：</w:t>
                  </w:r>
                </w:p>
                <w:p>
                  <w:pPr>
                    <w:rPr>
                      <w:rFonts w:hint="default" w:ascii="Times New Roman" w:hAnsi="Times New Roman" w:eastAsia="宋体" w:cs="Times New Roman"/>
                      <w:bCs/>
                      <w:spacing w:val="10"/>
                      <w:kern w:val="2"/>
                      <w:sz w:val="18"/>
                      <w:szCs w:val="18"/>
                      <w:lang w:val="en-US" w:eastAsia="zh-CN" w:bidi="ar-SA"/>
                    </w:rPr>
                  </w:pPr>
                  <w:r>
                    <w:rPr>
                      <w:rFonts w:hint="eastAsia" w:ascii="Times New Roman" w:hAnsi="Times New Roman" w:eastAsia="宋体" w:cs="Times New Roman"/>
                      <w:b/>
                      <w:bCs w:val="0"/>
                      <w:spacing w:val="10"/>
                      <w:kern w:val="2"/>
                      <w:sz w:val="18"/>
                      <w:szCs w:val="18"/>
                      <w:lang w:val="en-US" w:eastAsia="zh-CN" w:bidi="ar-SA"/>
                    </w:rPr>
                    <w:t>机遇：</w:t>
                  </w:r>
                  <w:r>
                    <w:rPr>
                      <w:rFonts w:hint="eastAsia" w:cs="Times New Roman"/>
                      <w:bCs/>
                      <w:spacing w:val="10"/>
                      <w:kern w:val="2"/>
                      <w:sz w:val="18"/>
                      <w:szCs w:val="18"/>
                      <w:lang w:val="en-US" w:eastAsia="zh-CN" w:bidi="ar-SA"/>
                    </w:rPr>
                    <w:t>控制有效，保障及时供货和产品质量；</w:t>
                  </w:r>
                </w:p>
                <w:p>
                  <w:pPr>
                    <w:widowControl/>
                    <w:spacing w:line="300" w:lineRule="exact"/>
                    <w:ind w:right="-113" w:rightChars="-54"/>
                    <w:jc w:val="left"/>
                    <w:rPr>
                      <w:rFonts w:hint="default"/>
                      <w:lang w:val="en-US" w:eastAsia="zh-CN"/>
                    </w:rPr>
                  </w:pPr>
                  <w:r>
                    <w:rPr>
                      <w:rFonts w:hint="eastAsia" w:ascii="Times New Roman" w:hAnsi="Times New Roman" w:eastAsia="宋体" w:cs="Times New Roman"/>
                      <w:b/>
                      <w:bCs w:val="0"/>
                      <w:spacing w:val="10"/>
                      <w:kern w:val="2"/>
                      <w:sz w:val="18"/>
                      <w:szCs w:val="18"/>
                      <w:lang w:val="en-US" w:eastAsia="zh-CN" w:bidi="ar-SA"/>
                    </w:rPr>
                    <w:t>风险：</w:t>
                  </w:r>
                  <w:r>
                    <w:rPr>
                      <w:rFonts w:hint="eastAsia"/>
                      <w:sz w:val="18"/>
                      <w:szCs w:val="18"/>
                      <w:lang w:val="en-US" w:eastAsia="zh-CN"/>
                    </w:rPr>
                    <w:t>增加公司成本；增大员工劳动强度；影响交期或质量不合格引起投诉</w:t>
                  </w:r>
                </w:p>
              </w:tc>
              <w:tc>
                <w:tcPr>
                  <w:tcW w:w="3249" w:type="dxa"/>
                  <w:vAlign w:val="center"/>
                </w:tcPr>
                <w:p>
                  <w:pPr>
                    <w:keepNext w:val="0"/>
                    <w:keepLines w:val="0"/>
                    <w:pageBreakBefore w:val="0"/>
                    <w:widowControl w:val="0"/>
                    <w:shd w:val="clear" w:color="auto" w:fill="C7DAF1" w:themeFill="text2" w:themeFillTint="32"/>
                    <w:kinsoku/>
                    <w:wordWrap/>
                    <w:overflowPunct/>
                    <w:topLinePunct w:val="0"/>
                    <w:autoSpaceDE/>
                    <w:autoSpaceDN/>
                    <w:bidi w:val="0"/>
                    <w:adjustRightInd/>
                    <w:snapToGrid/>
                    <w:spacing w:line="192" w:lineRule="auto"/>
                    <w:textAlignment w:val="auto"/>
                    <w:rPr>
                      <w:rFonts w:hint="eastAsia" w:ascii="Times New Roman" w:hAnsi="Times New Roman" w:eastAsia="宋体" w:cs="Times New Roman"/>
                      <w:b w:val="0"/>
                      <w:bCs w:val="0"/>
                      <w:spacing w:val="0"/>
                      <w:kern w:val="2"/>
                      <w:sz w:val="18"/>
                      <w:szCs w:val="18"/>
                      <w:lang w:val="en-US" w:eastAsia="zh-CN" w:bidi="ar-SA"/>
                    </w:rPr>
                  </w:pPr>
                  <w:r>
                    <w:rPr>
                      <w:rFonts w:hint="eastAsia" w:ascii="Times New Roman" w:hAnsi="Times New Roman" w:eastAsia="宋体" w:cs="Times New Roman"/>
                      <w:b w:val="0"/>
                      <w:bCs w:val="0"/>
                      <w:spacing w:val="0"/>
                      <w:kern w:val="2"/>
                      <w:sz w:val="18"/>
                      <w:szCs w:val="18"/>
                      <w:lang w:val="en-US" w:eastAsia="zh-CN" w:bidi="ar-SA"/>
                    </w:rPr>
                    <w:t>定职定岗专业生产；</w:t>
                  </w:r>
                </w:p>
                <w:p>
                  <w:pPr>
                    <w:keepNext w:val="0"/>
                    <w:keepLines w:val="0"/>
                    <w:pageBreakBefore w:val="0"/>
                    <w:widowControl w:val="0"/>
                    <w:shd w:val="clear" w:color="auto" w:fill="C7DAF1" w:themeFill="text2" w:themeFillTint="32"/>
                    <w:kinsoku/>
                    <w:wordWrap/>
                    <w:overflowPunct/>
                    <w:topLinePunct w:val="0"/>
                    <w:autoSpaceDE/>
                    <w:autoSpaceDN/>
                    <w:bidi w:val="0"/>
                    <w:adjustRightInd/>
                    <w:snapToGrid/>
                    <w:spacing w:line="192" w:lineRule="auto"/>
                    <w:textAlignment w:val="auto"/>
                    <w:rPr>
                      <w:rFonts w:hint="default" w:ascii="Times New Roman" w:hAnsi="Times New Roman" w:eastAsia="宋体" w:cs="Times New Roman"/>
                      <w:b w:val="0"/>
                      <w:bCs w:val="0"/>
                      <w:spacing w:val="0"/>
                      <w:kern w:val="2"/>
                      <w:sz w:val="18"/>
                      <w:szCs w:val="18"/>
                      <w:lang w:val="en-US" w:eastAsia="zh-CN" w:bidi="ar-SA"/>
                    </w:rPr>
                  </w:pPr>
                  <w:r>
                    <w:rPr>
                      <w:rFonts w:hint="eastAsia" w:ascii="Times New Roman" w:hAnsi="Times New Roman" w:eastAsia="宋体" w:cs="Times New Roman"/>
                      <w:b w:val="0"/>
                      <w:bCs w:val="0"/>
                      <w:spacing w:val="0"/>
                      <w:kern w:val="2"/>
                      <w:sz w:val="18"/>
                      <w:szCs w:val="18"/>
                      <w:lang w:val="en-US" w:eastAsia="zh-CN" w:bidi="ar-SA"/>
                    </w:rPr>
                    <w:t>加强全过程检验</w:t>
                  </w:r>
                </w:p>
              </w:tc>
              <w:tc>
                <w:tcPr>
                  <w:tcW w:w="1717" w:type="dxa"/>
                </w:tcPr>
                <w:p>
                  <w:pPr>
                    <w:shd w:val="clear" w:color="auto" w:fill="C7DAF1" w:themeFill="text2" w:themeFillTint="32"/>
                    <w:rPr>
                      <w:rFonts w:hint="default" w:eastAsia="宋体"/>
                      <w:sz w:val="18"/>
                      <w:szCs w:val="18"/>
                      <w:lang w:val="en-US" w:eastAsia="zh-CN"/>
                    </w:rPr>
                  </w:pPr>
                  <w:r>
                    <w:rPr>
                      <w:rFonts w:hint="eastAsia"/>
                      <w:sz w:val="18"/>
                      <w:szCs w:val="18"/>
                      <w:lang w:val="en-US"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keepNext w:val="0"/>
                    <w:keepLines w:val="0"/>
                    <w:widowControl/>
                    <w:suppressLineNumbers w:val="0"/>
                    <w:jc w:val="left"/>
                    <w:textAlignment w:val="center"/>
                  </w:pPr>
                  <w:r>
                    <w:rPr>
                      <w:rFonts w:hint="eastAsia"/>
                      <w:lang w:val="en-US" w:eastAsia="zh-CN"/>
                    </w:rPr>
                    <w:t xml:space="preserve">产品出厂合格率达到99%    </w:t>
                  </w:r>
                </w:p>
              </w:tc>
              <w:tc>
                <w:tcPr>
                  <w:tcW w:w="3136"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检测合格数量/总数量*100%</w:t>
                  </w:r>
                </w:p>
              </w:tc>
              <w:tc>
                <w:tcPr>
                  <w:tcW w:w="1350" w:type="dxa"/>
                  <w:shd w:val="clear" w:color="auto" w:fill="auto"/>
                  <w:vAlign w:val="center"/>
                </w:tcPr>
                <w:p>
                  <w:pPr>
                    <w:shd w:val="clear" w:color="auto" w:fill="C7DAF1" w:themeFill="text2" w:themeFillTint="32"/>
                    <w:rPr>
                      <w:rFonts w:hint="eastAsia"/>
                      <w:lang w:val="en-US" w:eastAsia="zh-CN"/>
                    </w:rPr>
                  </w:pPr>
                  <w:r>
                    <w:rPr>
                      <w:rFonts w:hint="eastAsia"/>
                      <w:lang w:val="en-US" w:eastAsia="zh-CN"/>
                    </w:rPr>
                    <w:t>生技部</w:t>
                  </w:r>
                </w:p>
                <w:p>
                  <w:pPr>
                    <w:shd w:val="clear" w:color="auto" w:fill="C7DAF1" w:themeFill="text2" w:themeFillTint="32"/>
                    <w:rPr>
                      <w:rFonts w:hint="default" w:eastAsia="宋体"/>
                      <w:lang w:val="en-US" w:eastAsia="zh-CN"/>
                    </w:rPr>
                  </w:pPr>
                  <w:r>
                    <w:rPr>
                      <w:rFonts w:hint="eastAsia"/>
                      <w:lang w:val="en-US" w:eastAsia="zh-CN"/>
                    </w:rPr>
                    <w:t>品管部</w:t>
                  </w:r>
                </w:p>
              </w:tc>
              <w:tc>
                <w:tcPr>
                  <w:tcW w:w="1774" w:type="dxa"/>
                  <w:shd w:val="clear" w:color="auto" w:fill="auto"/>
                  <w:vAlign w:val="top"/>
                </w:tcPr>
                <w:p>
                  <w:pPr>
                    <w:keepNext w:val="0"/>
                    <w:keepLines w:val="0"/>
                    <w:widowControl/>
                    <w:suppressLineNumbers w:val="0"/>
                    <w:jc w:val="left"/>
                    <w:textAlignment w:val="center"/>
                    <w:rPr>
                      <w:rFonts w:hint="default" w:ascii="宋体" w:hAnsi="宋体" w:eastAsia="宋体" w:cs="Times New Roman"/>
                      <w:lang w:val="en-US" w:eastAsia="zh-CN"/>
                    </w:rPr>
                  </w:pPr>
                  <w:r>
                    <w:rPr>
                      <w:rFonts w:hint="eastAsia"/>
                      <w:lang w:val="en-US" w:eastAsia="zh-CN"/>
                    </w:rPr>
                    <w:t>99.2%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2191" w:type="dxa"/>
                  <w:shd w:val="clear" w:color="auto" w:fill="auto"/>
                  <w:vAlign w:val="center"/>
                </w:tcPr>
                <w:p>
                  <w:pPr>
                    <w:keepNext w:val="0"/>
                    <w:keepLines w:val="0"/>
                    <w:widowControl/>
                    <w:suppressLineNumbers w:val="0"/>
                    <w:jc w:val="left"/>
                    <w:textAlignment w:val="center"/>
                  </w:pPr>
                  <w:r>
                    <w:rPr>
                      <w:rFonts w:hint="eastAsia"/>
                      <w:lang w:val="en-US" w:eastAsia="zh-CN"/>
                    </w:rPr>
                    <w:t>一次交检合格率达到99.5%</w:t>
                  </w:r>
                </w:p>
              </w:tc>
              <w:tc>
                <w:tcPr>
                  <w:tcW w:w="3136" w:type="dxa"/>
                  <w:shd w:val="clear" w:color="auto" w:fill="auto"/>
                  <w:vAlign w:val="center"/>
                </w:tcPr>
                <w:p>
                  <w:pPr>
                    <w:shd w:val="clear" w:color="auto" w:fill="C7DAF1" w:themeFill="text2" w:themeFillTint="32"/>
                    <w:rPr>
                      <w:rFonts w:hint="eastAsia"/>
                      <w:lang w:val="en-US" w:eastAsia="zh-CN"/>
                    </w:rPr>
                  </w:pPr>
                  <w:r>
                    <w:rPr>
                      <w:rFonts w:hint="eastAsia"/>
                      <w:lang w:val="en-US" w:eastAsia="zh-CN"/>
                    </w:rPr>
                    <w:t>一次检测合格数量/总数量*100%</w:t>
                  </w:r>
                </w:p>
              </w:tc>
              <w:tc>
                <w:tcPr>
                  <w:tcW w:w="1350" w:type="dxa"/>
                  <w:shd w:val="clear" w:color="auto" w:fill="auto"/>
                  <w:vAlign w:val="center"/>
                </w:tcPr>
                <w:p>
                  <w:pPr>
                    <w:shd w:val="clear" w:color="auto" w:fill="C7DAF1" w:themeFill="text2" w:themeFillTint="32"/>
                    <w:rPr>
                      <w:rFonts w:hint="eastAsia"/>
                      <w:lang w:val="en-US" w:eastAsia="zh-CN"/>
                    </w:rPr>
                  </w:pPr>
                  <w:r>
                    <w:rPr>
                      <w:rFonts w:hint="eastAsia"/>
                      <w:lang w:val="en-US" w:eastAsia="zh-CN"/>
                    </w:rPr>
                    <w:t>生技部</w:t>
                  </w:r>
                </w:p>
                <w:p>
                  <w:pPr>
                    <w:shd w:val="clear" w:color="auto" w:fill="C7DAF1" w:themeFill="text2" w:themeFillTint="32"/>
                    <w:rPr>
                      <w:rFonts w:hint="eastAsia"/>
                      <w:lang w:val="en-US" w:eastAsia="zh-CN"/>
                    </w:rPr>
                  </w:pPr>
                  <w:r>
                    <w:rPr>
                      <w:rFonts w:hint="eastAsia"/>
                      <w:lang w:val="en-US" w:eastAsia="zh-CN"/>
                    </w:rPr>
                    <w:t>品管部</w:t>
                  </w:r>
                </w:p>
              </w:tc>
              <w:tc>
                <w:tcPr>
                  <w:tcW w:w="1774" w:type="dxa"/>
                  <w:shd w:val="clear" w:color="auto" w:fill="auto"/>
                  <w:vAlign w:val="top"/>
                </w:tcPr>
                <w:p>
                  <w:pPr>
                    <w:keepNext w:val="0"/>
                    <w:keepLines w:val="0"/>
                    <w:widowControl/>
                    <w:suppressLineNumbers w:val="0"/>
                    <w:jc w:val="left"/>
                    <w:textAlignment w:val="center"/>
                    <w:rPr>
                      <w:rFonts w:hint="default" w:ascii="宋体" w:hAnsi="宋体" w:eastAsia="宋体" w:cs="Times New Roman"/>
                      <w:lang w:val="en-US" w:eastAsia="zh-CN"/>
                    </w:rPr>
                  </w:pPr>
                  <w:r>
                    <w:rPr>
                      <w:rFonts w:hint="eastAsia"/>
                      <w:lang w:val="en-US" w:eastAsia="zh-CN"/>
                    </w:rPr>
                    <w:t>99.85%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keepNext w:val="0"/>
                    <w:keepLines w:val="0"/>
                    <w:widowControl/>
                    <w:suppressLineNumbers w:val="0"/>
                    <w:jc w:val="left"/>
                    <w:textAlignment w:val="center"/>
                  </w:pPr>
                  <w:r>
                    <w:rPr>
                      <w:rFonts w:hint="eastAsia"/>
                      <w:lang w:val="en-US" w:eastAsia="zh-CN"/>
                    </w:rPr>
                    <w:t>顾客满意度&gt;90%</w:t>
                  </w:r>
                </w:p>
              </w:tc>
              <w:tc>
                <w:tcPr>
                  <w:tcW w:w="3136" w:type="dxa"/>
                  <w:shd w:val="clear" w:color="auto" w:fill="auto"/>
                  <w:vAlign w:val="center"/>
                </w:tcPr>
                <w:p>
                  <w:pPr>
                    <w:shd w:val="clear" w:color="auto" w:fill="C7DAF1" w:themeFill="text2" w:themeFillTint="32"/>
                    <w:rPr>
                      <w:rFonts w:hint="eastAsia" w:ascii="宋体" w:hAnsi="宋体"/>
                    </w:rPr>
                  </w:pPr>
                  <w:r>
                    <w:rPr>
                      <w:rFonts w:hint="eastAsia"/>
                      <w:lang w:val="en-US" w:eastAsia="zh-CN"/>
                    </w:rPr>
                    <w:t>满意指数和/总数*100%</w:t>
                  </w:r>
                </w:p>
              </w:tc>
              <w:tc>
                <w:tcPr>
                  <w:tcW w:w="1350" w:type="dxa"/>
                  <w:shd w:val="clear" w:color="auto" w:fill="auto"/>
                  <w:vAlign w:val="center"/>
                </w:tcPr>
                <w:p>
                  <w:pPr>
                    <w:shd w:val="clear" w:color="auto" w:fill="C7DAF1" w:themeFill="text2" w:themeFillTint="32"/>
                    <w:rPr>
                      <w:rFonts w:hint="eastAsia" w:ascii="宋体" w:hAnsi="宋体"/>
                      <w:lang w:val="en-US" w:eastAsia="zh-CN"/>
                    </w:rPr>
                  </w:pPr>
                  <w:r>
                    <w:rPr>
                      <w:rFonts w:hint="eastAsia" w:ascii="宋体" w:hAnsi="宋体"/>
                      <w:lang w:val="en-US" w:eastAsia="zh-CN"/>
                    </w:rPr>
                    <w:t>出口部</w:t>
                  </w:r>
                </w:p>
              </w:tc>
              <w:tc>
                <w:tcPr>
                  <w:tcW w:w="1774" w:type="dxa"/>
                  <w:shd w:val="clear" w:color="auto" w:fill="auto"/>
                  <w:vAlign w:val="top"/>
                </w:tcPr>
                <w:p>
                  <w:pPr>
                    <w:keepNext w:val="0"/>
                    <w:keepLines w:val="0"/>
                    <w:widowControl/>
                    <w:suppressLineNumbers w:val="0"/>
                    <w:jc w:val="left"/>
                    <w:textAlignment w:val="center"/>
                    <w:rPr>
                      <w:rFonts w:hint="eastAsia" w:ascii="宋体" w:hAnsi="宋体"/>
                      <w:lang w:val="en-US" w:eastAsia="zh-CN"/>
                    </w:rPr>
                  </w:pPr>
                  <w:r>
                    <w:rPr>
                      <w:rFonts w:hint="eastAsia"/>
                      <w:lang w:val="en-US" w:eastAsia="zh-CN"/>
                    </w:rPr>
                    <w:t>97.85%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keepNext w:val="0"/>
                    <w:keepLines w:val="0"/>
                    <w:widowControl/>
                    <w:suppressLineNumbers w:val="0"/>
                    <w:jc w:val="left"/>
                    <w:textAlignment w:val="center"/>
                  </w:pPr>
                  <w:r>
                    <w:rPr>
                      <w:rFonts w:hint="eastAsia"/>
                      <w:lang w:val="en-US" w:eastAsia="zh-CN"/>
                    </w:rPr>
                    <w:t>合同评审率100%</w:t>
                  </w:r>
                </w:p>
              </w:tc>
              <w:tc>
                <w:tcPr>
                  <w:tcW w:w="3136" w:type="dxa"/>
                  <w:shd w:val="clear" w:color="auto" w:fill="auto"/>
                  <w:vAlign w:val="center"/>
                </w:tcPr>
                <w:p>
                  <w:pPr>
                    <w:shd w:val="clear" w:color="auto" w:fill="C7DAF1" w:themeFill="text2" w:themeFillTint="32"/>
                    <w:rPr>
                      <w:rFonts w:ascii="宋体" w:hAnsi="宋体"/>
                    </w:rPr>
                  </w:pPr>
                  <w:r>
                    <w:rPr>
                      <w:rFonts w:hint="eastAsia" w:ascii="宋体" w:hAnsi="宋体"/>
                    </w:rPr>
                    <w:t>合同履约率=履约合同数/签订合同数*100%</w:t>
                  </w:r>
                </w:p>
              </w:tc>
              <w:tc>
                <w:tcPr>
                  <w:tcW w:w="1350" w:type="dxa"/>
                  <w:shd w:val="clear" w:color="auto" w:fill="auto"/>
                  <w:vAlign w:val="center"/>
                </w:tcPr>
                <w:p>
                  <w:pPr>
                    <w:shd w:val="clear" w:color="auto" w:fill="C7DAF1" w:themeFill="text2" w:themeFillTint="32"/>
                    <w:rPr>
                      <w:rFonts w:hint="eastAsia"/>
                      <w:lang w:val="en-US" w:eastAsia="zh-CN"/>
                    </w:rPr>
                  </w:pPr>
                  <w:r>
                    <w:rPr>
                      <w:rFonts w:hint="eastAsia"/>
                      <w:lang w:val="en-US" w:eastAsia="zh-CN"/>
                    </w:rPr>
                    <w:t>出口部</w:t>
                  </w:r>
                </w:p>
                <w:p>
                  <w:pPr>
                    <w:pStyle w:val="2"/>
                    <w:rPr>
                      <w:rFonts w:hint="default"/>
                      <w:lang w:val="en-US" w:eastAsia="zh-CN"/>
                    </w:rPr>
                  </w:pPr>
                  <w:r>
                    <w:rPr>
                      <w:rFonts w:hint="eastAsia" w:ascii="宋体" w:hAnsi="宋体"/>
                      <w:lang w:val="en-US" w:eastAsia="zh-CN"/>
                    </w:rPr>
                    <w:t>品管部</w:t>
                  </w:r>
                </w:p>
              </w:tc>
              <w:tc>
                <w:tcPr>
                  <w:tcW w:w="1774" w:type="dxa"/>
                  <w:shd w:val="clear" w:color="auto" w:fill="auto"/>
                  <w:vAlign w:val="top"/>
                </w:tcPr>
                <w:p>
                  <w:pPr>
                    <w:keepNext w:val="0"/>
                    <w:keepLines w:val="0"/>
                    <w:widowControl/>
                    <w:suppressLineNumbers w:val="0"/>
                    <w:jc w:val="left"/>
                    <w:textAlignment w:val="center"/>
                    <w:rPr>
                      <w:rFonts w:hint="default" w:ascii="宋体" w:hAnsi="宋体" w:eastAsia="宋体"/>
                      <w:lang w:val="en-US" w:eastAsia="zh-CN"/>
                    </w:rPr>
                  </w:pPr>
                  <w:r>
                    <w:rPr>
                      <w:rFonts w:hint="eastAsia"/>
                      <w:lang w:val="en-US" w:eastAsia="zh-CN"/>
                    </w:rPr>
                    <w:t>100%</w:t>
                  </w:r>
                </w:p>
              </w:tc>
            </w:tr>
          </w:tbl>
          <w:p>
            <w:pPr>
              <w:shd w:val="clear" w:color="auto" w:fill="C7DAF1" w:themeFill="text2" w:themeFillTint="32"/>
              <w:rPr>
                <w:rFonts w:asciiTheme="minorEastAsia" w:hAnsiTheme="minorEastAsia" w:eastAsiaTheme="minorEastAsia"/>
                <w:bCs/>
                <w:kern w:val="2"/>
                <w:sz w:val="21"/>
                <w:szCs w:val="21"/>
              </w:rPr>
            </w:pPr>
            <w:r>
              <w:rPr>
                <w:rFonts w:hint="eastAsia"/>
              </w:rPr>
              <w:t>■目标已实现</w:t>
            </w:r>
            <w:r>
              <w:rPr>
                <w:rFonts w:hint="eastAsia"/>
                <w:lang w:val="en-US" w:eastAsia="zh-CN"/>
              </w:rPr>
              <w:t xml:space="preserve"> </w:t>
            </w:r>
            <w:r>
              <w:rPr>
                <w:rFonts w:hint="eastAsia" w:ascii="宋体" w:hAnsi="宋体" w:cs="宋体"/>
                <w:szCs w:val="21"/>
              </w:rPr>
              <w:t xml:space="preserve">  </w:t>
            </w:r>
            <w:r>
              <w:rPr>
                <w:rFonts w:hint="eastAsia" w:asciiTheme="minorEastAsia" w:hAnsiTheme="minorEastAsia" w:eastAsiaTheme="minorEastAsia"/>
                <w:bCs/>
                <w:kern w:val="2"/>
                <w:sz w:val="21"/>
                <w:szCs w:val="21"/>
              </w:rPr>
              <w:t xml:space="preserve">                                                       </w:t>
            </w:r>
          </w:p>
          <w:p>
            <w:pPr>
              <w:pStyle w:val="2"/>
              <w:rPr>
                <w:rFonts w:hint="eastAsia"/>
                <w:lang w:val="en-US" w:eastAsia="zh-CN"/>
              </w:rPr>
            </w:pPr>
            <w:r>
              <w:rPr>
                <w:rFonts w:hint="eastAsia" w:ascii="宋体" w:hAnsi="宋体" w:cs="宋体"/>
                <w:szCs w:val="21"/>
              </w:rPr>
              <w:t>----</w:t>
            </w:r>
            <w:r>
              <w:rPr>
                <w:rFonts w:hint="eastAsia" w:ascii="宋体" w:hAnsi="宋体"/>
                <w:szCs w:val="21"/>
              </w:rPr>
              <w:t xml:space="preserve"> 产品要求及增强顾客满意所需的内容，符合要求。</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rPr>
                <w:rFonts w:hint="eastAsia" w:eastAsia="宋体"/>
                <w:lang w:val="en-US" w:eastAsia="zh-CN"/>
              </w:rPr>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rPr>
                <w:rFonts w:hint="default" w:eastAsia="宋体"/>
                <w:lang w:val="en-US" w:eastAsia="zh-CN"/>
              </w:rPr>
            </w:pPr>
            <w:r>
              <w:rPr>
                <w:rFonts w:hint="eastAsia"/>
              </w:rPr>
              <w:t>□主要设备设施 □主要检测设备 □其他</w:t>
            </w:r>
            <w:r>
              <w:rPr>
                <w:rFonts w:hint="eastAsia"/>
                <w:lang w:eastAsia="zh-CN"/>
              </w:rPr>
              <w:t>：</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947" w:type="dxa"/>
            <w:vMerge w:val="restart"/>
            <w:shd w:val="clear" w:color="auto" w:fill="C7DAF1" w:themeFill="text2" w:themeFillTint="32"/>
          </w:tcPr>
          <w:p>
            <w:pPr>
              <w:shd w:val="clear" w:color="auto" w:fill="C7DAF1" w:themeFill="text2" w:themeFillTint="32"/>
            </w:pPr>
            <w:r>
              <w:rPr>
                <w:rFonts w:hint="eastAsia"/>
              </w:rPr>
              <w:t>支持</w:t>
            </w:r>
          </w:p>
        </w:tc>
        <w:tc>
          <w:tcPr>
            <w:tcW w:w="9015"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sym w:font="Wingdings 2" w:char="00A3"/>
            </w: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606" w:hRule="atLeast"/>
        </w:trPr>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pPr>
            <w:r>
              <w:rPr>
                <w:rFonts w:hint="eastAsia"/>
              </w:rPr>
              <w:t>组</w:t>
            </w:r>
            <w:r>
              <w:rPr>
                <w:rFonts w:hint="eastAsia"/>
                <w:color w:val="auto"/>
              </w:rPr>
              <w:t>织应确定、</w:t>
            </w:r>
            <w:r>
              <w:rPr>
                <w:rFonts w:hint="eastAsia"/>
              </w:rPr>
              <w:t>提供并维护所需的基础设施情况：</w:t>
            </w:r>
          </w:p>
          <w:p>
            <w:pPr>
              <w:shd w:val="clear" w:color="auto" w:fill="C7DAF1" w:themeFill="text2" w:themeFillTint="32"/>
            </w:pPr>
            <w:r>
              <w:rPr>
                <w:rFonts w:hint="eastAsia"/>
              </w:rPr>
              <w:t>建筑面积</w:t>
            </w:r>
            <w:r>
              <w:rPr>
                <w:rFonts w:hint="eastAsia"/>
                <w:highlight w:val="none"/>
                <w:u w:val="single"/>
              </w:rPr>
              <w:t xml:space="preserve"> </w:t>
            </w:r>
            <w:r>
              <w:rPr>
                <w:rFonts w:hint="eastAsia"/>
                <w:highlight w:val="none"/>
                <w:u w:val="single"/>
                <w:lang w:val="en-US" w:eastAsia="zh-CN"/>
              </w:rPr>
              <w:t>13320</w:t>
            </w:r>
            <w:r>
              <w:rPr>
                <w:rFonts w:hint="eastAsia"/>
                <w:highlight w:val="none"/>
                <w:u w:val="single"/>
              </w:rPr>
              <w:t xml:space="preserve"> </w:t>
            </w:r>
            <w:r>
              <w:rPr>
                <w:rFonts w:hint="eastAsia"/>
                <w:highlight w:val="none"/>
              </w:rPr>
              <w:t>平方米；生产车间</w:t>
            </w:r>
            <w:r>
              <w:rPr>
                <w:rFonts w:hint="eastAsia"/>
                <w:highlight w:val="none"/>
                <w:u w:val="single"/>
              </w:rPr>
              <w:t xml:space="preserve"> </w:t>
            </w:r>
            <w:r>
              <w:rPr>
                <w:rFonts w:hint="eastAsia"/>
                <w:highlight w:val="none"/>
                <w:u w:val="single"/>
                <w:lang w:val="en-US" w:eastAsia="zh-CN"/>
              </w:rPr>
              <w:t>6</w:t>
            </w:r>
            <w:r>
              <w:rPr>
                <w:rFonts w:hint="eastAsia"/>
                <w:highlight w:val="none"/>
                <w:u w:val="single"/>
              </w:rPr>
              <w:t xml:space="preserve">  </w:t>
            </w:r>
            <w:r>
              <w:rPr>
                <w:rFonts w:hint="eastAsia"/>
                <w:highlight w:val="none"/>
              </w:rPr>
              <w:t>个；库房</w:t>
            </w:r>
            <w:r>
              <w:rPr>
                <w:rFonts w:hint="eastAsia"/>
                <w:highlight w:val="none"/>
                <w:lang w:eastAsia="zh-CN"/>
              </w:rPr>
              <w:t>（</w:t>
            </w:r>
            <w:r>
              <w:rPr>
                <w:rFonts w:hint="eastAsia"/>
                <w:highlight w:val="none"/>
                <w:lang w:val="en-US" w:eastAsia="zh-CN"/>
              </w:rPr>
              <w:t>存料区</w:t>
            </w:r>
            <w:r>
              <w:rPr>
                <w:rFonts w:hint="eastAsia"/>
                <w:highlight w:val="none"/>
                <w:lang w:eastAsia="zh-CN"/>
              </w:rPr>
              <w:t>）</w:t>
            </w:r>
            <w:r>
              <w:rPr>
                <w:rFonts w:hint="eastAsia"/>
                <w:highlight w:val="none"/>
                <w:u w:val="single"/>
              </w:rPr>
              <w:t xml:space="preserve">  </w:t>
            </w:r>
            <w:r>
              <w:rPr>
                <w:rFonts w:hint="eastAsia"/>
                <w:highlight w:val="none"/>
                <w:u w:val="single"/>
                <w:lang w:val="en-US" w:eastAsia="zh-CN"/>
              </w:rPr>
              <w:t>3</w:t>
            </w:r>
            <w:r>
              <w:rPr>
                <w:rFonts w:hint="eastAsia"/>
                <w:highlight w:val="none"/>
                <w:u w:val="single"/>
              </w:rPr>
              <w:t xml:space="preserve">  </w:t>
            </w:r>
            <w:r>
              <w:rPr>
                <w:rFonts w:hint="eastAsia"/>
                <w:highlight w:val="none"/>
              </w:rPr>
              <w:t>个；</w:t>
            </w:r>
            <w:r>
              <w:rPr>
                <w:rFonts w:hint="eastAsia"/>
              </w:rPr>
              <w:t>实验室</w:t>
            </w:r>
            <w:r>
              <w:rPr>
                <w:rFonts w:hint="eastAsia"/>
                <w:lang w:eastAsia="zh-CN"/>
              </w:rPr>
              <w:t>（</w:t>
            </w:r>
            <w:r>
              <w:rPr>
                <w:rFonts w:hint="eastAsia"/>
                <w:lang w:val="en-US" w:eastAsia="zh-CN"/>
              </w:rPr>
              <w:t>办公区</w:t>
            </w:r>
            <w:r>
              <w:rPr>
                <w:rFonts w:hint="eastAsia"/>
                <w:lang w:eastAsia="zh-CN"/>
              </w:rPr>
              <w:t>）</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个；</w:t>
            </w:r>
          </w:p>
          <w:p>
            <w:pPr>
              <w:shd w:val="clear" w:color="auto" w:fill="C7DAF1" w:themeFill="text2" w:themeFillTint="32"/>
              <w:rPr>
                <w:u w:val="single"/>
              </w:rPr>
            </w:pPr>
            <w:r>
              <w:rPr>
                <w:rFonts w:hint="eastAsia"/>
              </w:rPr>
              <w:t>主要生产设备有：</w:t>
            </w:r>
            <w:r>
              <w:rPr>
                <w:rFonts w:hint="eastAsia"/>
                <w:u w:val="single"/>
                <w:lang w:val="en-US" w:eastAsia="zh-CN"/>
              </w:rPr>
              <w:t xml:space="preserve"> </w:t>
            </w:r>
            <w:r>
              <w:rPr>
                <w:rFonts w:hint="eastAsia" w:ascii="宋体" w:hAnsi="宋体" w:cs="Arial"/>
                <w:szCs w:val="21"/>
                <w:u w:val="single"/>
                <w:lang w:val="en-US" w:eastAsia="zh-CN"/>
              </w:rPr>
              <w:t>单头弯管机 SB39 1台、气动圆锯机315 1台、折弯机 WC67-6312500  1台、电焊机NBC350  8台、气动冲床6071台</w:t>
            </w:r>
            <w:r>
              <w:rPr>
                <w:rFonts w:hint="eastAsia" w:ascii="宋体" w:hAnsi="宋体" w:cs="Arial"/>
                <w:szCs w:val="21"/>
                <w:highlight w:val="none"/>
                <w:u w:val="single"/>
                <w:lang w:val="en-US" w:eastAsia="zh-CN"/>
              </w:rPr>
              <w:t>等</w:t>
            </w:r>
            <w:r>
              <w:rPr>
                <w:rFonts w:hint="eastAsia"/>
                <w:u w:val="single"/>
                <w:lang w:val="en-US" w:eastAsia="zh-CN"/>
              </w:rPr>
              <w:t xml:space="preserve">。 </w:t>
            </w:r>
          </w:p>
          <w:p>
            <w:pPr>
              <w:shd w:val="clear" w:color="auto" w:fill="C7DAF1" w:themeFill="text2" w:themeFillTint="32"/>
            </w:pPr>
            <w:r>
              <w:rPr>
                <w:rFonts w:hint="eastAsia"/>
              </w:rPr>
              <w:t xml:space="preserve">特种设备：■叉车 </w:t>
            </w:r>
            <w:r>
              <w:rPr>
                <w:rFonts w:hint="eastAsia" w:ascii="Wingdings" w:hAnsi="Wingdings"/>
              </w:rPr>
              <w:t>¨</w:t>
            </w:r>
            <w:r>
              <w:rPr>
                <w:rFonts w:hint="eastAsia"/>
              </w:rPr>
              <w:t xml:space="preserve">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压力管道  </w:t>
            </w:r>
            <w:r>
              <w:rPr>
                <w:rFonts w:hint="eastAsia" w:ascii="Wingdings" w:hAnsi="Wingdings"/>
              </w:rPr>
              <w:t>¨</w:t>
            </w:r>
            <w:r>
              <w:rPr>
                <w:rFonts w:hint="eastAsia"/>
              </w:rPr>
              <w:t xml:space="preserve">不适用  </w:t>
            </w:r>
          </w:p>
          <w:p>
            <w:pPr>
              <w:shd w:val="clear" w:color="auto" w:fill="C7DAF1" w:themeFill="text2" w:themeFillTint="32"/>
              <w:rPr>
                <w:u w:val="single"/>
              </w:rPr>
            </w:pPr>
            <w:r>
              <w:rPr>
                <w:rFonts w:hint="eastAsia"/>
              </w:rPr>
              <w:t>特种设备管理</w:t>
            </w:r>
            <w:r>
              <w:rPr>
                <w:rFonts w:hint="eastAsia"/>
                <w:highlight w:val="none"/>
              </w:rPr>
              <w:t xml:space="preserve">： ■进行了定期检验  </w:t>
            </w:r>
            <w:r>
              <w:rPr>
                <w:rFonts w:hint="eastAsia" w:ascii="Wingdings" w:hAnsi="Wingdings"/>
                <w:highlight w:val="none"/>
              </w:rPr>
              <w:t>¨</w:t>
            </w:r>
            <w:r>
              <w:rPr>
                <w:rFonts w:hint="eastAsia"/>
                <w:highlight w:val="none"/>
              </w:rPr>
              <w:t>未</w:t>
            </w:r>
            <w:r>
              <w:rPr>
                <w:rFonts w:hint="eastAsia"/>
              </w:rPr>
              <w:t xml:space="preserve">进行定期检验的有： </w:t>
            </w:r>
            <w:r>
              <w:rPr>
                <w:rFonts w:hint="eastAsia"/>
                <w:u w:val="single"/>
              </w:rPr>
              <w:t xml:space="preserve">            </w:t>
            </w:r>
          </w:p>
          <w:p>
            <w:pPr>
              <w:shd w:val="clear" w:color="auto" w:fill="C7DAF1" w:themeFill="text2" w:themeFillTint="32"/>
            </w:pPr>
            <w:r>
              <w:rPr>
                <w:rFonts w:hint="eastAsia"/>
              </w:rPr>
              <w:t>■组织</w:t>
            </w:r>
            <w:r>
              <w:t>现有</w:t>
            </w:r>
            <w:r>
              <w:rPr>
                <w:rFonts w:hint="eastAsia"/>
              </w:rPr>
              <w:t>基础设施可满足质量管理体系运行；</w:t>
            </w:r>
          </w:p>
          <w:p>
            <w:pPr>
              <w:shd w:val="clear" w:color="auto" w:fill="C7DAF1" w:themeFill="text2" w:themeFillTint="32"/>
            </w:pPr>
            <w:r>
              <w:rPr>
                <w:rFonts w:hint="eastAsia"/>
              </w:rPr>
              <w:sym w:font="Wingdings 2" w:char="00A3"/>
            </w: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sym w:font="Wingdings 2" w:char="00A3"/>
            </w: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sym w:font="Wingdings 2" w:char="00A3"/>
            </w: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 xml:space="preserve">：■计量器具   </w:t>
            </w:r>
            <w:r>
              <w:rPr>
                <w:rFonts w:hint="eastAsia" w:ascii="Wingdings" w:hAnsi="Wingdings"/>
              </w:rPr>
              <w:t>¨</w:t>
            </w:r>
            <w:r>
              <w:rPr>
                <w:rFonts w:hint="eastAsia"/>
              </w:rPr>
              <w:t xml:space="preserve">服务流程检查表  </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■外校 </w:t>
            </w:r>
          </w:p>
          <w:p>
            <w:pPr>
              <w:shd w:val="clear" w:color="auto" w:fill="C7DAF1" w:themeFill="text2" w:themeFillTint="32"/>
              <w:rPr>
                <w:rFonts w:hint="eastAsia"/>
                <w:u w:val="single"/>
                <w:lang w:val="en-US" w:eastAsia="zh-CN"/>
              </w:rPr>
            </w:pPr>
            <w:r>
              <w:rPr>
                <w:rFonts w:hint="eastAsia"/>
              </w:rPr>
              <w:t>国家强检的计量器具有：</w:t>
            </w:r>
            <w:r>
              <w:rPr>
                <w:rFonts w:hint="eastAsia"/>
                <w:u w:val="single"/>
              </w:rPr>
              <w:t xml:space="preserve">  </w:t>
            </w:r>
            <w:r>
              <w:rPr>
                <w:rFonts w:hint="eastAsia"/>
                <w:color w:val="auto"/>
                <w:szCs w:val="21"/>
                <w:u w:val="single"/>
                <w:lang w:val="en-US" w:eastAsia="zh-CN"/>
              </w:rPr>
              <w:t>游标卡尺、外径千分尺、卷尺</w:t>
            </w:r>
            <w:r>
              <w:rPr>
                <w:rFonts w:hint="eastAsia"/>
                <w:u w:val="single"/>
                <w:lang w:val="en-US" w:eastAsia="zh-CN"/>
              </w:rPr>
              <w:t>（列举1~4种）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r>
              <w:rPr>
                <w:rFonts w:hint="eastAsia"/>
                <w:u w:val="single"/>
                <w:lang w:val="en-US" w:eastAsia="zh-CN"/>
              </w:rPr>
              <w:t>计划2022年2月进行校准，但未提供已校准相关证据，已具书面不合格项，公司进行原因分析、进行有效整改</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■加工工艺 ■生产经验  </w:t>
            </w:r>
            <w:r>
              <w:rPr>
                <w:rFonts w:hint="eastAsia" w:ascii="Wingdings" w:hAnsi="Wingdings"/>
              </w:rPr>
              <w:t>¨</w:t>
            </w:r>
            <w:r>
              <w:rPr>
                <w:rFonts w:hint="eastAsia"/>
              </w:rPr>
              <w:t xml:space="preserve">管理软件  ■市场预测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■顾客提供资料 </w:t>
            </w:r>
            <w:r>
              <w:rPr>
                <w:rFonts w:hint="eastAsia" w:ascii="Wingdings" w:hAnsi="Wingdings"/>
              </w:rPr>
              <w:t>¨</w:t>
            </w:r>
            <w:r>
              <w:rPr>
                <w:rFonts w:hint="eastAsia"/>
              </w:rPr>
              <w:t xml:space="preserve">产品标准  </w:t>
            </w:r>
            <w:r>
              <w:rPr>
                <w:rFonts w:hint="eastAsia" w:ascii="Wingdings" w:hAnsi="Wingdings"/>
              </w:rPr>
              <w:t>¨</w:t>
            </w:r>
            <w:r>
              <w:rPr>
                <w:rFonts w:hint="eastAsia"/>
              </w:rPr>
              <w:t xml:space="preserve">学术交流信息  </w:t>
            </w:r>
            <w:r>
              <w:rPr>
                <w:rFonts w:hint="eastAsia" w:ascii="Wingdings" w:hAnsi="Wingdings"/>
              </w:rPr>
              <w:t>¨</w:t>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■招聘 </w:t>
            </w:r>
            <w:r>
              <w:rPr>
                <w:rFonts w:hint="eastAsia" w:ascii="Wingdings" w:hAnsi="Wingdings"/>
              </w:rPr>
              <w:t>¨</w:t>
            </w:r>
            <w:r>
              <w:rPr>
                <w:rFonts w:hint="eastAsia"/>
              </w:rPr>
              <w:t xml:space="preserve">换岗  ■培训  ■考核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 xml:space="preserve">特种作业人员：■电工 ■焊工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C7DAF1" w:themeFill="text2" w:themeFillTint="32"/>
            </w:pPr>
            <w:r>
              <w:rPr>
                <w:rFonts w:hint="eastAsia"/>
              </w:rPr>
              <w:t>特种设备作业人员：■叉车工</w:t>
            </w:r>
            <w:r>
              <w:rPr>
                <w:rFonts w:hint="eastAsia"/>
                <w:highlight w:val="none"/>
              </w:rPr>
              <w:t xml:space="preserve"> </w:t>
            </w:r>
            <w:r>
              <w:rPr>
                <w:rFonts w:hint="eastAsia" w:ascii="Wingdings" w:hAnsi="Wingdings"/>
                <w:highlight w:val="none"/>
              </w:rPr>
              <w:t>¨</w:t>
            </w:r>
            <w:r>
              <w:rPr>
                <w:rFonts w:hint="eastAsia"/>
                <w:highlight w:val="none"/>
              </w:rPr>
              <w:t xml:space="preserve">行车工  </w:t>
            </w:r>
            <w:r>
              <w:rPr>
                <w:rFonts w:hint="eastAsia" w:ascii="Wingdings" w:hAnsi="Wingdings"/>
                <w:highlight w:val="none"/>
              </w:rPr>
              <w:t>¨</w:t>
            </w:r>
            <w:r>
              <w:rPr>
                <w:rFonts w:hint="eastAsia"/>
                <w:highlight w:val="none"/>
              </w:rPr>
              <w:t>锅</w:t>
            </w:r>
            <w:r>
              <w:rPr>
                <w:rFonts w:hint="eastAsia"/>
              </w:rPr>
              <w:t xml:space="preserve">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 xml:space="preserve">通过■会议传达 </w:t>
            </w:r>
            <w:r>
              <w:rPr>
                <w:rFonts w:hint="eastAsia" w:ascii="Wingdings" w:hAnsi="Wingdings"/>
              </w:rPr>
              <w:t>¨</w:t>
            </w:r>
            <w:r>
              <w:rPr>
                <w:rFonts w:hint="eastAsia"/>
              </w:rPr>
              <w:t xml:space="preserve">标语  ■培训  ■看板   ■局域网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 xml:space="preserve">内部沟通方式：■文件发放 ■会议  </w:t>
            </w:r>
            <w:r>
              <w:rPr>
                <w:rFonts w:hint="eastAsia" w:ascii="Wingdings" w:hAnsi="Wingdings"/>
              </w:rPr>
              <w:t>¨</w:t>
            </w:r>
            <w:r>
              <w:rPr>
                <w:rFonts w:hint="eastAsia"/>
              </w:rPr>
              <w:t xml:space="preserve">标语 ■展板   </w:t>
            </w:r>
            <w:r>
              <w:rPr>
                <w:rFonts w:hint="eastAsia" w:ascii="Wingdings" w:hAnsi="Wingdings"/>
              </w:rPr>
              <w:t>¨</w:t>
            </w:r>
            <w:r>
              <w:rPr>
                <w:rFonts w:hint="eastAsia"/>
              </w:rPr>
              <w:t>其他</w:t>
            </w:r>
          </w:p>
          <w:p>
            <w:pPr>
              <w:shd w:val="clear" w:color="auto" w:fill="C7DAF1" w:themeFill="text2" w:themeFillTint="32"/>
            </w:pPr>
            <w:r>
              <w:rPr>
                <w:rFonts w:hint="eastAsia"/>
              </w:rPr>
              <w:t xml:space="preserve">外部沟通方式：■宣传材料 ■网站  ■标语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■体系文件受控 </w:t>
            </w:r>
            <w:r>
              <w:rPr>
                <w:rFonts w:hint="eastAsia" w:ascii="Wingdings" w:hAnsi="Wingdings"/>
              </w:rPr>
              <w:t>¨</w:t>
            </w:r>
            <w:r>
              <w:rPr>
                <w:rFonts w:hint="eastAsia"/>
              </w:rPr>
              <w:t>体系文件基本受控，存在问题：</w:t>
            </w:r>
            <w:r>
              <w:rPr>
                <w:rFonts w:hint="eastAsia"/>
                <w:u w:val="single"/>
              </w:rPr>
              <w:t xml:space="preserve">   </w:t>
            </w:r>
            <w:r>
              <w:rPr>
                <w:rFonts w:hint="eastAsia"/>
                <w:u w:val="single"/>
                <w:lang w:val="en-US" w:eastAsia="zh-CN"/>
              </w:rPr>
              <w:t>无</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w:t>
            </w:r>
            <w:r>
              <w:rPr>
                <w:rFonts w:hint="eastAsia"/>
              </w:rPr>
              <w:sym w:font="Wingdings 2" w:char="00A3"/>
            </w:r>
            <w:r>
              <w:rPr>
                <w:rFonts w:hint="eastAsia"/>
              </w:rPr>
              <w:t>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947" w:type="dxa"/>
            <w:vMerge w:val="restart"/>
            <w:shd w:val="clear" w:color="auto" w:fill="C7DAF1" w:themeFill="text2" w:themeFillTint="32"/>
          </w:tcPr>
          <w:p>
            <w:pPr>
              <w:shd w:val="clear" w:color="auto" w:fill="C7DAF1" w:themeFill="text2" w:themeFillTint="32"/>
            </w:pPr>
            <w:r>
              <w:rPr>
                <w:rFonts w:hint="eastAsia"/>
              </w:rPr>
              <w:t>运行</w:t>
            </w:r>
          </w:p>
        </w:tc>
        <w:tc>
          <w:tcPr>
            <w:tcW w:w="9015"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■工艺流程图 ■作业文件  ■检测计划   ■接收准则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rPr>
              <w:t>¨</w:t>
            </w:r>
            <w:r>
              <w:rPr>
                <w:rFonts w:hint="eastAsia"/>
              </w:rPr>
              <w:t xml:space="preserve">外来标准 </w:t>
            </w:r>
            <w:r>
              <w:rPr>
                <w:rFonts w:hint="eastAsia" w:ascii="Wingdings" w:hAnsi="Wingdings"/>
              </w:rPr>
              <w:t>¨</w:t>
            </w:r>
            <w:r>
              <w:rPr>
                <w:rFonts w:hint="eastAsia"/>
              </w:rPr>
              <w:t xml:space="preserve">企业标准  ■顾客要求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u w:val="single"/>
                <w:lang w:val="en-US" w:eastAsia="zh-CN"/>
              </w:rPr>
              <w:t>不适用</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 xml:space="preserve">外部提供包括：■原材料采购 ■委托加工  ■顾客要求 ■运输  </w:t>
            </w:r>
            <w:r>
              <w:rPr>
                <w:rFonts w:hint="eastAsia" w:ascii="Wingdings" w:hAnsi="Wingdings"/>
              </w:rPr>
              <w:t>¨</w:t>
            </w:r>
            <w:r>
              <w:rPr>
                <w:rFonts w:hint="eastAsia"/>
              </w:rPr>
              <w:t>其他</w:t>
            </w:r>
          </w:p>
          <w:p>
            <w:pPr>
              <w:shd w:val="clear" w:color="auto" w:fill="C7DAF1" w:themeFill="text2" w:themeFillTint="32"/>
              <w:jc w:val="left"/>
            </w:pPr>
            <w:r>
              <w:rPr>
                <w:rFonts w:hint="eastAsia"/>
              </w:rPr>
              <w:t xml:space="preserve">提供给外部供方的信息■符合要求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jc w:val="left"/>
              <w:rPr>
                <w:rFonts w:hint="default" w:eastAsia="宋体"/>
                <w:lang w:val="en-US" w:eastAsia="zh-CN"/>
              </w:rPr>
            </w:pPr>
            <w:r>
              <w:rPr>
                <w:rFonts w:hint="eastAsia"/>
              </w:rPr>
              <w:t>组织的生产和服务提供流程图</w:t>
            </w:r>
            <w:r>
              <w:rPr>
                <w:rFonts w:hint="eastAsia"/>
                <w:lang w:eastAsia="zh-CN"/>
              </w:rPr>
              <w:t>，</w:t>
            </w:r>
            <w:r>
              <w:rPr>
                <w:rFonts w:hint="eastAsia"/>
                <w:lang w:val="en-US" w:eastAsia="zh-CN"/>
              </w:rPr>
              <w:t>见第一条</w:t>
            </w:r>
          </w:p>
          <w:p>
            <w:pPr>
              <w:shd w:val="clear" w:color="auto" w:fill="C7DAF1" w:themeFill="text2" w:themeFillTint="32"/>
              <w:jc w:val="left"/>
            </w:pPr>
            <w:r>
              <w:rPr>
                <w:rFonts w:hint="eastAsia"/>
              </w:rPr>
              <w:t>认证范围内每种产品/服务流程的关键</w:t>
            </w:r>
            <w:r>
              <w:rPr>
                <w:rFonts w:hint="eastAsia"/>
                <w:color w:val="0000FF"/>
              </w:rPr>
              <w:t>过程及控制参数：</w:t>
            </w:r>
          </w:p>
          <w:tbl>
            <w:tblPr>
              <w:tblStyle w:val="8"/>
              <w:tblpPr w:leftFromText="180" w:rightFromText="180" w:vertAnchor="text" w:horzAnchor="page" w:tblpX="-1336" w:tblpY="155"/>
              <w:tblOverlap w:val="never"/>
              <w:tblW w:w="8799"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6"/>
              <w:gridCol w:w="1211"/>
              <w:gridCol w:w="65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100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25"/>
                      <w:lang w:val="en-US" w:eastAsia="zh-CN" w:bidi="ar"/>
                    </w:rPr>
                    <w:t>产品</w:t>
                  </w:r>
                  <w:r>
                    <w:rPr>
                      <w:rStyle w:val="26"/>
                      <w:rFonts w:eastAsia="宋体"/>
                      <w:lang w:val="en-US" w:eastAsia="zh-CN" w:bidi="ar"/>
                    </w:rPr>
                    <w:t>/</w:t>
                  </w:r>
                  <w:r>
                    <w:rPr>
                      <w:rStyle w:val="25"/>
                      <w:lang w:val="en-US" w:eastAsia="zh-CN" w:bidi="ar"/>
                    </w:rPr>
                    <w:t>服务名称</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关键过程</w:t>
                  </w:r>
                </w:p>
              </w:tc>
              <w:tc>
                <w:tcPr>
                  <w:tcW w:w="658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控制内容（如尺寸、压力等）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1006" w:type="dxa"/>
                  <w:vMerge w:val="restar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pPr>
                </w:p>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sz w:val="20"/>
                    </w:rPr>
                    <w:t>人力手推车、车载行李架及五金附件的生产</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宋体" w:hAnsi="宋体" w:eastAsia="宋体" w:cs="宋体"/>
                      <w:b w:val="0"/>
                      <w:bCs/>
                      <w:i w:val="0"/>
                      <w:iCs w:val="0"/>
                      <w:color w:val="000000"/>
                      <w:sz w:val="21"/>
                      <w:szCs w:val="21"/>
                      <w:u w:val="none"/>
                      <w:lang w:val="en-US" w:eastAsia="zh-CN"/>
                    </w:rPr>
                  </w:pPr>
                  <w:r>
                    <w:rPr>
                      <w:rFonts w:hint="eastAsia"/>
                      <w:b w:val="0"/>
                      <w:bCs/>
                      <w:sz w:val="20"/>
                      <w:lang w:val="en-US" w:eastAsia="zh-CN"/>
                    </w:rPr>
                    <w:t>特殊过程 焊接</w:t>
                  </w:r>
                </w:p>
              </w:tc>
              <w:tc>
                <w:tcPr>
                  <w:tcW w:w="658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numPr>
                      <w:ilvl w:val="0"/>
                      <w:numId w:val="0"/>
                    </w:numPr>
                    <w:suppressLineNumbers w:val="0"/>
                    <w:jc w:val="both"/>
                    <w:textAlignment w:val="top"/>
                    <w:rPr>
                      <w:rFonts w:hint="eastAsia" w:ascii="宋体" w:hAnsi="宋体" w:eastAsia="宋体" w:cs="宋体"/>
                      <w:i w:val="0"/>
                      <w:iCs w:val="0"/>
                      <w:color w:val="000000"/>
                      <w:sz w:val="21"/>
                      <w:szCs w:val="21"/>
                      <w:u w:val="none"/>
                    </w:rPr>
                  </w:pPr>
                  <w:r>
                    <w:rPr>
                      <w:rFonts w:hint="eastAsia"/>
                      <w:b w:val="0"/>
                      <w:bCs/>
                      <w:sz w:val="20"/>
                      <w:lang w:val="en-US" w:eastAsia="zh-CN"/>
                    </w:rPr>
                    <w:t>人员须持证上岗，目测、手感的方法验证是否有缺焊、漏焊、虚焊、焊透、气孔等缺陷及焊渣、毛刺的清理质量；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6"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21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cs="宋体"/>
                      <w:b w:val="0"/>
                      <w:bCs/>
                      <w:i w:val="0"/>
                      <w:iCs w:val="0"/>
                      <w:color w:val="000000"/>
                      <w:sz w:val="21"/>
                      <w:szCs w:val="21"/>
                      <w:u w:val="none"/>
                      <w:lang w:val="en-US" w:eastAsia="zh-CN"/>
                    </w:rPr>
                  </w:pPr>
                  <w:r>
                    <w:rPr>
                      <w:rFonts w:hint="eastAsia"/>
                      <w:b w:val="0"/>
                      <w:bCs/>
                      <w:sz w:val="20"/>
                      <w:lang w:val="en-US" w:eastAsia="zh-CN"/>
                    </w:rPr>
                    <w:t>关键过程 包装</w:t>
                  </w:r>
                </w:p>
              </w:tc>
              <w:tc>
                <w:tcPr>
                  <w:tcW w:w="6582" w:type="dxa"/>
                  <w:tcBorders>
                    <w:top w:val="single" w:color="auto" w:sz="4" w:space="0"/>
                    <w:left w:val="single" w:color="auto" w:sz="4" w:space="0"/>
                    <w:bottom w:val="single" w:color="auto" w:sz="4" w:space="0"/>
                    <w:right w:val="single" w:color="auto" w:sz="4" w:space="0"/>
                  </w:tcBorders>
                  <w:shd w:val="clear" w:color="auto" w:fill="auto"/>
                  <w:vAlign w:val="top"/>
                </w:tcPr>
                <w:p>
                  <w:pPr>
                    <w:snapToGrid w:val="0"/>
                    <w:spacing w:line="280" w:lineRule="exact"/>
                    <w:jc w:val="both"/>
                    <w:rPr>
                      <w:rFonts w:hint="eastAsia" w:ascii="宋体" w:hAnsi="宋体" w:cs="宋体"/>
                      <w:i w:val="0"/>
                      <w:iCs w:val="0"/>
                      <w:color w:val="000000"/>
                      <w:sz w:val="21"/>
                      <w:szCs w:val="21"/>
                      <w:u w:val="none"/>
                      <w:lang w:val="en-US" w:eastAsia="zh-CN"/>
                    </w:rPr>
                  </w:pPr>
                  <w:r>
                    <w:rPr>
                      <w:rFonts w:hint="eastAsia"/>
                      <w:b w:val="0"/>
                      <w:bCs/>
                      <w:sz w:val="20"/>
                      <w:lang w:val="en-US" w:eastAsia="zh-CN"/>
                    </w:rPr>
                    <w:t>检验所有零部件相互配合情况，目测、手感验证产品及包装物上的灰尘、杂物及外包装质量，依照合同要求验证首件包装数量及唛头 、条形码等各种标识。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8" w:hRule="atLeast"/>
              </w:trPr>
              <w:tc>
                <w:tcPr>
                  <w:tcW w:w="1006"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21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宋体" w:hAnsi="宋体" w:eastAsia="宋体" w:cs="宋体"/>
                      <w:i w:val="0"/>
                      <w:iCs w:val="0"/>
                      <w:color w:val="000000"/>
                      <w:sz w:val="21"/>
                      <w:szCs w:val="21"/>
                      <w:u w:val="none"/>
                      <w:lang w:val="en-US" w:eastAsia="zh-CN"/>
                    </w:rPr>
                  </w:pPr>
                  <w:r>
                    <w:rPr>
                      <w:rFonts w:hint="eastAsia"/>
                      <w:b w:val="0"/>
                      <w:bCs/>
                      <w:sz w:val="20"/>
                      <w:lang w:val="en-US" w:eastAsia="zh-CN"/>
                    </w:rPr>
                    <w:t>特殊过程 喷塑</w:t>
                  </w:r>
                </w:p>
              </w:tc>
              <w:tc>
                <w:tcPr>
                  <w:tcW w:w="658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numPr>
                      <w:ilvl w:val="0"/>
                      <w:numId w:val="0"/>
                    </w:numPr>
                    <w:suppressLineNumbers w:val="0"/>
                    <w:jc w:val="both"/>
                    <w:textAlignment w:val="top"/>
                    <w:rPr>
                      <w:rFonts w:hint="eastAsia" w:ascii="宋体" w:hAnsi="宋体" w:cs="宋体"/>
                      <w:i w:val="0"/>
                      <w:iCs w:val="0"/>
                      <w:color w:val="000000"/>
                      <w:sz w:val="21"/>
                      <w:szCs w:val="21"/>
                      <w:u w:val="none"/>
                      <w:lang w:val="en-US" w:eastAsia="zh-CN"/>
                    </w:rPr>
                  </w:pPr>
                  <w:r>
                    <w:rPr>
                      <w:rFonts w:hint="eastAsia"/>
                      <w:b w:val="0"/>
                      <w:bCs/>
                      <w:sz w:val="20"/>
                      <w:lang w:val="en-US" w:eastAsia="zh-CN"/>
                    </w:rPr>
                    <w:t>为外包过程，到货进行外观质量检测，目测、手感的方法检验涂层的颜色、脱层情况，采用轻微敲击法检验涂层无脱落</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u w:val="single"/>
                <w:lang w:val="en-US" w:eastAsia="zh-CN"/>
              </w:rPr>
              <w:t>焊接过程</w:t>
            </w:r>
            <w:r>
              <w:rPr>
                <w:rFonts w:hint="eastAsia"/>
                <w:u w:val="single"/>
              </w:rPr>
              <w:t xml:space="preserve">            </w:t>
            </w:r>
            <w:r>
              <w:rPr>
                <w:rFonts w:hint="eastAsia"/>
              </w:rPr>
              <w:t xml:space="preserve"> ，</w:t>
            </w:r>
          </w:p>
          <w:p>
            <w:pPr>
              <w:shd w:val="clear" w:color="auto" w:fill="C7DAF1" w:themeFill="text2" w:themeFillTint="32"/>
              <w:jc w:val="left"/>
            </w:pPr>
            <w:r>
              <w:rPr>
                <w:rFonts w:hint="eastAsia"/>
              </w:rPr>
              <w:t xml:space="preserve">■进行了有效的确认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 xml:space="preserve">对生产和服务提供过程的控制■符合要求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 xml:space="preserve">采用的标识方式：■标签 ■标牌 ■区域 </w:t>
            </w:r>
            <w:r>
              <w:rPr>
                <w:rFonts w:hint="eastAsia" w:ascii="Wingdings" w:hAnsi="Wingdings"/>
              </w:rPr>
              <w:t>¨</w:t>
            </w:r>
            <w:r>
              <w:rPr>
                <w:rFonts w:hint="eastAsia"/>
              </w:rPr>
              <w:t xml:space="preserve">容器编号 </w:t>
            </w:r>
            <w:r>
              <w:rPr>
                <w:rFonts w:hint="eastAsia" w:ascii="Wingdings" w:hAnsi="Wingdings"/>
              </w:rPr>
              <w:t>¨</w:t>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 xml:space="preserve">可追溯性实现：■符合要求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rPr>
                <w:rFonts w:hint="default" w:eastAsia="宋体"/>
                <w:lang w:val="en-US" w:eastAsia="zh-CN"/>
              </w:rPr>
            </w:pPr>
            <w:r>
              <w:rPr>
                <w:rFonts w:hint="eastAsia" w:ascii="Wingdings" w:hAnsi="Wingdings"/>
              </w:rPr>
              <w:t>¨</w:t>
            </w:r>
            <w:r>
              <w:rPr>
                <w:rFonts w:hint="eastAsia"/>
              </w:rPr>
              <w:t xml:space="preserve">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配方 ■个人信息 ■其他</w:t>
            </w:r>
            <w:r>
              <w:rPr>
                <w:rFonts w:hint="eastAsia"/>
                <w:lang w:val="en-US" w:eastAsia="zh-CN"/>
              </w:rPr>
              <w:t xml:space="preserve"> 顾客提供有关产品信息</w:t>
            </w:r>
          </w:p>
          <w:p>
            <w:pPr>
              <w:shd w:val="clear" w:color="auto" w:fill="C7DAF1" w:themeFill="text2" w:themeFillTint="32"/>
              <w:jc w:val="left"/>
            </w:pPr>
            <w:r>
              <w:rPr>
                <w:rFonts w:hint="eastAsia"/>
              </w:rPr>
              <w:t xml:space="preserve">顾客或外部供方财产控制：■符合要求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 xml:space="preserve">产品防护：■符合要求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rPr>
                <w:rFonts w:hint="default" w:eastAsia="宋体"/>
                <w:lang w:val="en-US" w:eastAsia="zh-CN"/>
              </w:rPr>
            </w:pPr>
            <w:r>
              <w:rPr>
                <w:rFonts w:hint="eastAsia"/>
              </w:rPr>
              <w:t>目前交付后活动：</w:t>
            </w:r>
            <w:r>
              <w:rPr>
                <w:rFonts w:hint="eastAsia" w:ascii="Wingdings" w:hAnsi="Wingdings"/>
              </w:rPr>
              <w:t>¨</w:t>
            </w:r>
            <w:r>
              <w:rPr>
                <w:rFonts w:hint="eastAsia"/>
              </w:rPr>
              <w:t xml:space="preserve">三包 </w:t>
            </w:r>
            <w:r>
              <w:rPr>
                <w:rFonts w:hint="eastAsia" w:ascii="Wingdings" w:hAnsi="Wingdings"/>
              </w:rPr>
              <w:t>¨</w:t>
            </w:r>
            <w:r>
              <w:rPr>
                <w:rFonts w:hint="eastAsia"/>
              </w:rPr>
              <w:t xml:space="preserve">维修 ■赔偿 ■道歉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 xml:space="preserve">交付后活动：■符合要求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rPr>
                <w:rFonts w:hint="default" w:eastAsia="宋体"/>
                <w:lang w:val="en-US" w:eastAsia="zh-CN"/>
              </w:rPr>
            </w:pPr>
            <w:r>
              <w:rPr>
                <w:rFonts w:hint="eastAsia"/>
              </w:rPr>
              <w:t xml:space="preserve">组织对生产和服务提供的更改进行必要的评审和控制，以确保持续地符合要求。 </w:t>
            </w:r>
            <w:r>
              <w:rPr>
                <w:rFonts w:hint="eastAsia"/>
                <w:lang w:val="en-US" w:eastAsia="zh-CN"/>
              </w:rPr>
              <w:t>无变更</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rPr>
              <w:sym w:font="Wingdings 2" w:char="00A3"/>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 xml:space="preserve">实施了■进货检验 ■首件检验 ■过程检验 ■最终检验 </w:t>
            </w:r>
            <w:r>
              <w:rPr>
                <w:rFonts w:hint="eastAsia" w:ascii="Wingdings" w:hAnsi="Wingdings"/>
              </w:rPr>
              <w:t>¨</w:t>
            </w:r>
            <w:r>
              <w:rPr>
                <w:rFonts w:hint="eastAsia"/>
              </w:rPr>
              <w:t xml:space="preserve">型式检验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w:t>
            </w:r>
          </w:p>
          <w:p>
            <w:pPr>
              <w:shd w:val="clear" w:color="auto" w:fill="C7DAF1" w:themeFill="text2" w:themeFillTint="32"/>
            </w:pPr>
            <w:r>
              <w:rPr>
                <w:rFonts w:hint="eastAsia"/>
              </w:rPr>
              <w:t xml:space="preserve">产品检验/服务放行：■符合要求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 xml:space="preserve">不合格品控制：■符合要求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restart"/>
            <w:shd w:val="clear" w:color="auto" w:fill="C7DAF1" w:themeFill="text2" w:themeFillTint="32"/>
          </w:tcPr>
          <w:p>
            <w:pPr>
              <w:shd w:val="clear" w:color="auto" w:fill="C7DAF1" w:themeFill="text2" w:themeFillTint="32"/>
            </w:pPr>
            <w:r>
              <w:rPr>
                <w:rFonts w:hint="eastAsia"/>
              </w:rPr>
              <w:t>绩效评价</w:t>
            </w:r>
          </w:p>
        </w:tc>
        <w:tc>
          <w:tcPr>
            <w:tcW w:w="9015"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t xml:space="preserve">■顾客调查 ■顾客对交付产品或服务的反馈  </w:t>
            </w:r>
            <w:r>
              <w:rPr>
                <w:rFonts w:hint="eastAsia" w:ascii="Wingdings" w:hAnsi="Wingdings"/>
              </w:rPr>
              <w:t>¨</w:t>
            </w:r>
            <w:r>
              <w:rPr>
                <w:rFonts w:hint="eastAsia"/>
              </w:rPr>
              <w:t xml:space="preserve">顾客座谈 </w:t>
            </w:r>
            <w:r>
              <w:rPr>
                <w:rFonts w:hint="eastAsia" w:ascii="Wingdings" w:hAnsi="Wingdings"/>
              </w:rPr>
              <w:t>¨</w:t>
            </w:r>
            <w:r>
              <w:rPr>
                <w:rFonts w:hint="eastAsia"/>
              </w:rPr>
              <w:t xml:space="preserve">市场占有率分析 ■顾客赞扬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12</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rPr>
                <w:rFonts w:hint="eastAsia" w:eastAsia="宋体"/>
                <w:lang w:val="en-US" w:eastAsia="zh-CN"/>
              </w:rPr>
            </w:pPr>
            <w:r>
              <w:rPr>
                <w:rFonts w:hint="eastAsia"/>
              </w:rPr>
              <w:t>若是组织多场所/临时场所：（按照组织的实际情况选择）</w:t>
            </w:r>
            <w:r>
              <w:rPr>
                <w:rFonts w:hint="eastAsia"/>
                <w:lang w:val="en-US" w:eastAsia="zh-CN"/>
              </w:rPr>
              <w:t>无</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rPr>
                <w:rFonts w:hint="default" w:eastAsia="宋体"/>
                <w:lang w:val="en-US" w:eastAsia="zh-CN"/>
              </w:rPr>
            </w:pPr>
            <w:r>
              <w:rPr>
                <w:rFonts w:hint="eastAsia"/>
              </w:rPr>
              <w:t>若是多班次操作：（按照组织的实际情况选择）</w:t>
            </w:r>
            <w:r>
              <w:rPr>
                <w:rFonts w:hint="eastAsia"/>
                <w:lang w:val="en-US" w:eastAsia="zh-CN"/>
              </w:rPr>
              <w:t>一班</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12</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20</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947" w:type="dxa"/>
            <w:vMerge w:val="restart"/>
            <w:shd w:val="clear" w:color="auto" w:fill="C7DAF1" w:themeFill="text2" w:themeFillTint="32"/>
          </w:tcPr>
          <w:p>
            <w:pPr>
              <w:shd w:val="clear" w:color="auto" w:fill="C7DAF1" w:themeFill="text2" w:themeFillTint="32"/>
            </w:pPr>
            <w:r>
              <w:rPr>
                <w:rFonts w:hint="eastAsia"/>
              </w:rPr>
              <w:t>改进</w:t>
            </w:r>
          </w:p>
        </w:tc>
        <w:tc>
          <w:tcPr>
            <w:tcW w:w="9015"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rPr>
              <w:t xml:space="preserve">■不合格产品/服务 </w:t>
            </w:r>
            <w:r>
              <w:rPr>
                <w:rFonts w:hint="eastAsia"/>
                <w:lang w:val="en-US" w:eastAsia="zh-CN"/>
              </w:rPr>
              <w:t xml:space="preserve"> </w:t>
            </w:r>
            <w:r>
              <w:rPr>
                <w:rFonts w:hint="eastAsia"/>
              </w:rPr>
              <w:t>■自我验证的结果  ■顾客投诉</w:t>
            </w:r>
            <w:r>
              <w:rPr>
                <w:rFonts w:hint="eastAsia"/>
                <w:lang w:val="en-US" w:eastAsia="zh-CN"/>
              </w:rPr>
              <w:t xml:space="preserve"> </w:t>
            </w:r>
            <w:r>
              <w:rPr>
                <w:rFonts w:hint="eastAsia"/>
              </w:rPr>
              <w:t xml:space="preserve"> </w:t>
            </w:r>
            <w:r>
              <w:rPr>
                <w:rFonts w:hint="eastAsia" w:ascii="Wingdings" w:hAnsi="Wingdings"/>
              </w:rPr>
              <w:t>¨</w:t>
            </w:r>
            <w:r>
              <w:rPr>
                <w:rFonts w:hint="eastAsia"/>
              </w:rPr>
              <w:t xml:space="preserve">顾客满意调查 </w:t>
            </w:r>
          </w:p>
          <w:p>
            <w:pPr>
              <w:shd w:val="clear" w:color="auto" w:fill="C7DAF1" w:themeFill="text2" w:themeFillTint="32"/>
            </w:pPr>
            <w:r>
              <w:rPr>
                <w:rFonts w:hint="eastAsia"/>
              </w:rPr>
              <w:t>■内审不符合项   ■</w:t>
            </w:r>
            <w:r>
              <w:rPr>
                <w:rFonts w:hint="eastAsia"/>
                <w:lang w:val="en-US" w:eastAsia="zh-CN"/>
              </w:rPr>
              <w:t>外</w:t>
            </w:r>
            <w:r>
              <w:rPr>
                <w:rFonts w:hint="eastAsia"/>
              </w:rPr>
              <w:t xml:space="preserve">审不符合项  ■管理评审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3</w:t>
            </w: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rFonts w:hint="eastAsia" w:eastAsia="宋体"/>
                <w:lang w:val="en-US" w:eastAsia="zh-CN"/>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rFonts w:hint="eastAsia" w:eastAsia="宋体"/>
                <w:lang w:val="en-US" w:eastAsia="zh-CN"/>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0D72607"/>
    <w:rsid w:val="039200C1"/>
    <w:rsid w:val="055471A6"/>
    <w:rsid w:val="080F45E6"/>
    <w:rsid w:val="08132BEB"/>
    <w:rsid w:val="08A35231"/>
    <w:rsid w:val="0D782A7C"/>
    <w:rsid w:val="123C1740"/>
    <w:rsid w:val="15EE2D6F"/>
    <w:rsid w:val="197D7D98"/>
    <w:rsid w:val="19FA6A40"/>
    <w:rsid w:val="1A7E2C8D"/>
    <w:rsid w:val="1BC463D6"/>
    <w:rsid w:val="205C2F02"/>
    <w:rsid w:val="2614761A"/>
    <w:rsid w:val="266D6A9E"/>
    <w:rsid w:val="2E555260"/>
    <w:rsid w:val="376D29D0"/>
    <w:rsid w:val="39990EDC"/>
    <w:rsid w:val="3B471C64"/>
    <w:rsid w:val="3C2F0015"/>
    <w:rsid w:val="3ED805B2"/>
    <w:rsid w:val="3FEE495C"/>
    <w:rsid w:val="40B87B2B"/>
    <w:rsid w:val="421F7B1E"/>
    <w:rsid w:val="43E268C5"/>
    <w:rsid w:val="48E878E4"/>
    <w:rsid w:val="4E445F3B"/>
    <w:rsid w:val="529E7461"/>
    <w:rsid w:val="52E42162"/>
    <w:rsid w:val="597D4C31"/>
    <w:rsid w:val="5A4126B8"/>
    <w:rsid w:val="5BD11A32"/>
    <w:rsid w:val="5E40563D"/>
    <w:rsid w:val="61225C86"/>
    <w:rsid w:val="626536A1"/>
    <w:rsid w:val="629A02BD"/>
    <w:rsid w:val="63B05C41"/>
    <w:rsid w:val="67220995"/>
    <w:rsid w:val="6777296A"/>
    <w:rsid w:val="6C8C3454"/>
    <w:rsid w:val="74B80DF9"/>
    <w:rsid w:val="74C356CD"/>
    <w:rsid w:val="753B3832"/>
    <w:rsid w:val="75C630A2"/>
    <w:rsid w:val="7BDB58CF"/>
    <w:rsid w:val="7D1831A7"/>
    <w:rsid w:val="7DF20F6B"/>
    <w:rsid w:val="7F5308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4">
    <w:name w:val="列出段落1"/>
    <w:basedOn w:val="1"/>
    <w:qFormat/>
    <w:uiPriority w:val="34"/>
    <w:pPr>
      <w:ind w:firstLine="420" w:firstLineChars="200"/>
    </w:pPr>
  </w:style>
  <w:style w:type="character" w:customStyle="1" w:styleId="25">
    <w:name w:val="font11"/>
    <w:basedOn w:val="10"/>
    <w:qFormat/>
    <w:uiPriority w:val="0"/>
    <w:rPr>
      <w:rFonts w:hint="eastAsia" w:ascii="宋体" w:hAnsi="宋体" w:eastAsia="宋体" w:cs="宋体"/>
      <w:color w:val="000000"/>
      <w:sz w:val="21"/>
      <w:szCs w:val="21"/>
      <w:u w:val="none"/>
    </w:rPr>
  </w:style>
  <w:style w:type="character" w:customStyle="1" w:styleId="26">
    <w:name w:val="font31"/>
    <w:basedOn w:val="10"/>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2</TotalTime>
  <ScaleCrop>false</ScaleCrop>
  <LinksUpToDate>false</LinksUpToDate>
  <CharactersWithSpaces>21168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付正</cp:lastModifiedBy>
  <cp:lastPrinted>2019-05-13T03:19:00Z</cp:lastPrinted>
  <dcterms:modified xsi:type="dcterms:W3CDTF">2022-03-09T03:33:29Z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