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1381-2021-Q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405"/>
        <w:gridCol w:w="163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78"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重庆潍鑫实业有限公司</w:t>
            </w:r>
            <w:bookmarkEnd w:id="1"/>
          </w:p>
        </w:tc>
        <w:tc>
          <w:tcPr>
            <w:tcW w:w="163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78" w:type="dxa"/>
            <w:gridSpan w:val="2"/>
          </w:tcPr>
          <w:p>
            <w:pPr>
              <w:snapToGrid w:val="0"/>
              <w:spacing w:line="0" w:lineRule="atLeast"/>
              <w:jc w:val="center"/>
              <w:rPr>
                <w:sz w:val="22"/>
                <w:szCs w:val="22"/>
              </w:rPr>
            </w:pPr>
          </w:p>
        </w:tc>
        <w:tc>
          <w:tcPr>
            <w:tcW w:w="163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78" w:type="dxa"/>
            <w:gridSpan w:val="2"/>
          </w:tcPr>
          <w:p>
            <w:pPr>
              <w:snapToGrid w:val="0"/>
              <w:spacing w:line="0" w:lineRule="atLeast"/>
              <w:jc w:val="center"/>
              <w:rPr>
                <w:sz w:val="22"/>
                <w:szCs w:val="22"/>
              </w:rPr>
            </w:pPr>
            <w:bookmarkStart w:id="4" w:name="机构代码"/>
            <w:r>
              <w:rPr>
                <w:sz w:val="22"/>
                <w:szCs w:val="22"/>
              </w:rPr>
              <w:t>91500109MA5YUEGT8G</w:t>
            </w:r>
            <w:bookmarkEnd w:id="4"/>
          </w:p>
        </w:tc>
        <w:tc>
          <w:tcPr>
            <w:tcW w:w="163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78"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63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eastAsia" w:eastAsia="宋体"/>
                <w:sz w:val="22"/>
                <w:szCs w:val="22"/>
                <w:lang w:eastAsia="zh-CN"/>
              </w:rPr>
            </w:pPr>
            <w:bookmarkStart w:id="12" w:name="体系人数"/>
            <w:r>
              <w:rPr>
                <w:sz w:val="22"/>
                <w:szCs w:val="22"/>
              </w:rPr>
              <w:t>60</w:t>
            </w:r>
            <w:bookmarkEnd w:id="12"/>
            <w:r>
              <w:rPr>
                <w:rFonts w:hint="eastAsia"/>
                <w:sz w:val="22"/>
                <w:szCs w:val="22"/>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ascii="宋体" w:hAnsi="宋体" w:eastAsia="宋体" w:cs="宋体"/>
                <w:b/>
                <w:color w:val="000000" w:themeColor="text1"/>
                <w:sz w:val="22"/>
                <w:szCs w:val="22"/>
              </w:rPr>
              <w:t>■</w:t>
            </w:r>
            <w:r>
              <w:rPr>
                <w:rFonts w:hint="eastAsia"/>
                <w:b/>
                <w:color w:val="000000" w:themeColor="text1"/>
                <w:sz w:val="22"/>
                <w:szCs w:val="22"/>
              </w:rPr>
              <w:t>认证范围变更（□扩大</w:t>
            </w:r>
            <w:r>
              <w:rPr>
                <w:rFonts w:hint="eastAsia" w:ascii="宋体" w:hAnsi="宋体" w:eastAsia="宋体" w:cs="宋体"/>
                <w:b/>
                <w:color w:val="000000" w:themeColor="text1"/>
                <w:sz w:val="22"/>
                <w:szCs w:val="22"/>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重庆潍鑫实业有限公司</w:t>
            </w:r>
            <w:bookmarkEnd w:id="17"/>
          </w:p>
        </w:tc>
        <w:tc>
          <w:tcPr>
            <w:tcW w:w="5013" w:type="dxa"/>
            <w:gridSpan w:val="3"/>
            <w:vMerge w:val="restart"/>
          </w:tcPr>
          <w:p>
            <w:pPr>
              <w:snapToGrid w:val="0"/>
              <w:spacing w:line="0" w:lineRule="atLeast"/>
              <w:jc w:val="left"/>
              <w:rPr>
                <w:sz w:val="22"/>
                <w:szCs w:val="22"/>
              </w:rPr>
            </w:pPr>
            <w:r>
              <w:rPr>
                <w:rFonts w:hint="eastAsia" w:ascii="Times New Roman" w:hAnsi="Times New Roman" w:eastAsia="宋体" w:cs="Times New Roman"/>
                <w:sz w:val="22"/>
                <w:szCs w:val="22"/>
                <w:lang w:val="en-GB"/>
              </w:rPr>
              <w:t>野营房 、石油机</w:t>
            </w:r>
            <w:bookmarkStart w:id="19" w:name="_GoBack"/>
            <w:r>
              <w:rPr>
                <w:rFonts w:hint="eastAsia" w:ascii="Times New Roman" w:hAnsi="Times New Roman" w:eastAsia="宋体" w:cs="Times New Roman"/>
                <w:sz w:val="22"/>
                <w:szCs w:val="22"/>
                <w:lang w:val="en-GB"/>
              </w:rPr>
              <w:t>械(常压储罐)的制造</w:t>
            </w:r>
            <w:bookmarkEnd w:id="19"/>
            <w:r>
              <w:rPr>
                <w:rFonts w:hint="eastAsia" w:ascii="Times New Roman" w:hAnsi="Times New Roman" w:eastAsia="宋体" w:cs="Times New Roman"/>
                <w:sz w:val="22"/>
                <w:szCs w:val="22"/>
                <w:lang w:val="en-GB"/>
              </w:rPr>
              <w:t>；资质范围内汽车维修；机电产品(发电机、防爆电机、减速器、清水泵、污水泵、液下泵、生活用水泵、切割机)、仪器仪表、钢材、空调的销售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重庆市北碚区蔡家岗街道三溪村槽房社</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重庆市北碚区蔡家岗街道三溪村槽房社</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78"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3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CE55C7"/>
    <w:rsid w:val="6040598A"/>
    <w:rsid w:val="7FCA75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2022-01-17T12:42:42Z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