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hint="eastAsia" w:ascii="宋体" w:hAnsi="宋体" w:eastAsiaTheme="minorEastAsia"/>
          <w:b w:val="0"/>
          <w:bCs w:val="0"/>
          <w:sz w:val="24"/>
          <w:szCs w:val="24"/>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4"/>
          <w:szCs w:val="24"/>
          <w:u w:val="single"/>
          <w:lang w:eastAsia="zh-CN"/>
        </w:rPr>
        <w:t>胜利油田顺天节能技术有限公司</w:t>
      </w:r>
    </w:p>
    <w:p>
      <w:pPr>
        <w:spacing w:line="360" w:lineRule="auto"/>
        <w:ind w:firstLine="960" w:firstLineChars="200"/>
        <w:jc w:val="left"/>
        <w:rPr>
          <w:rFonts w:hint="eastAsia"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0010</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w:t>
      </w:r>
      <w:bookmarkEnd w:id="1"/>
      <w:r>
        <w:rPr>
          <w:rFonts w:hint="eastAsia" w:ascii="宋体" w:hAnsi="宋体"/>
          <w:sz w:val="32"/>
          <w:u w:val="single"/>
          <w:lang w:val="en-US" w:eastAsia="zh-CN"/>
        </w:rPr>
        <w:t>2</w:t>
      </w:r>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010</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2</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362"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胜利油田顺天节能技术有限公司</w:t>
            </w:r>
          </w:p>
        </w:tc>
        <w:tc>
          <w:tcPr>
            <w:tcW w:w="1623"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847"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成江华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认证证书编号</w:t>
            </w:r>
          </w:p>
        </w:tc>
        <w:tc>
          <w:tcPr>
            <w:tcW w:w="3362" w:type="dxa"/>
            <w:vAlign w:val="top"/>
          </w:tcPr>
          <w:p>
            <w:pPr>
              <w:jc w:val="both"/>
              <w:rPr>
                <w:rFonts w:hint="default" w:asciiTheme="minorEastAsia" w:hAnsiTheme="minorEastAsia" w:eastAsiaTheme="minorEastAsia"/>
                <w:sz w:val="21"/>
                <w:szCs w:val="21"/>
                <w:highlight w:val="none"/>
                <w:lang w:val="en-US" w:eastAsia="zh-CN"/>
              </w:rPr>
            </w:pPr>
            <w:r>
              <w:rPr>
                <w:rFonts w:ascii="Times New Roman" w:hAnsi="Times New Roman" w:cs="Times New Roman"/>
                <w:b w:val="0"/>
                <w:bCs/>
                <w:kern w:val="0"/>
                <w:szCs w:val="21"/>
                <w:highlight w:val="none"/>
              </w:rPr>
              <w:t>IS</w:t>
            </w:r>
            <w:r>
              <w:rPr>
                <w:rFonts w:hint="eastAsia" w:ascii="Times New Roman" w:hAnsi="Times New Roman" w:cs="Times New Roman"/>
                <w:b w:val="0"/>
                <w:bCs/>
                <w:kern w:val="0"/>
                <w:szCs w:val="21"/>
                <w:highlight w:val="none"/>
                <w:lang w:val="en-US" w:eastAsia="zh-CN"/>
              </w:rPr>
              <w:t>C</w:t>
            </w:r>
            <w:r>
              <w:rPr>
                <w:rFonts w:ascii="Times New Roman" w:hAnsi="Times New Roman" w:cs="Times New Roman"/>
                <w:b w:val="0"/>
                <w:bCs/>
                <w:kern w:val="0"/>
                <w:szCs w:val="21"/>
                <w:highlight w:val="none"/>
              </w:rPr>
              <w:t>-20</w:t>
            </w:r>
            <w:r>
              <w:rPr>
                <w:rFonts w:hint="eastAsia" w:ascii="Times New Roman" w:hAnsi="Times New Roman" w:cs="Times New Roman"/>
                <w:b w:val="0"/>
                <w:bCs/>
                <w:kern w:val="0"/>
                <w:szCs w:val="21"/>
                <w:highlight w:val="none"/>
                <w:lang w:val="en-US" w:eastAsia="zh-CN"/>
              </w:rPr>
              <w:t>20</w:t>
            </w:r>
            <w:r>
              <w:rPr>
                <w:rFonts w:ascii="Times New Roman" w:hAnsi="Times New Roman" w:cs="Times New Roman"/>
                <w:b w:val="0"/>
                <w:bCs/>
                <w:kern w:val="0"/>
                <w:szCs w:val="21"/>
                <w:highlight w:val="none"/>
              </w:rPr>
              <w:t>-</w:t>
            </w:r>
            <w:r>
              <w:rPr>
                <w:rFonts w:hint="eastAsia" w:ascii="Times New Roman" w:hAnsi="Times New Roman" w:cs="Times New Roman"/>
                <w:b w:val="0"/>
                <w:bCs/>
                <w:kern w:val="0"/>
                <w:szCs w:val="21"/>
                <w:highlight w:val="none"/>
                <w:lang w:val="en-US" w:eastAsia="zh-CN"/>
              </w:rPr>
              <w:t>0632</w:t>
            </w:r>
          </w:p>
        </w:tc>
        <w:tc>
          <w:tcPr>
            <w:tcW w:w="1623" w:type="dxa"/>
            <w:vAlign w:val="top"/>
          </w:tcPr>
          <w:p>
            <w:pPr>
              <w:rPr>
                <w:rFonts w:cs="宋体" w:asciiTheme="minorEastAsia" w:hAnsiTheme="minorEastAsia"/>
                <w:kern w:val="0"/>
                <w:sz w:val="21"/>
                <w:szCs w:val="21"/>
                <w:highlight w:val="none"/>
              </w:rPr>
            </w:pPr>
            <w:r>
              <w:rPr>
                <w:rFonts w:hint="eastAsia" w:ascii="宋体" w:hAnsi="宋体"/>
                <w:b w:val="0"/>
                <w:bCs/>
                <w:highlight w:val="none"/>
              </w:rPr>
              <w:t>证书有效期</w:t>
            </w:r>
          </w:p>
        </w:tc>
        <w:tc>
          <w:tcPr>
            <w:tcW w:w="2847" w:type="dxa"/>
            <w:vAlign w:val="top"/>
          </w:tcPr>
          <w:p>
            <w:pPr>
              <w:rPr>
                <w:rFonts w:hint="default" w:cs="宋体" w:asciiTheme="minorEastAsia" w:hAnsiTheme="minorEastAsia"/>
                <w:kern w:val="0"/>
                <w:sz w:val="21"/>
                <w:szCs w:val="21"/>
                <w:highlight w:val="red"/>
                <w:lang w:val="en-US"/>
              </w:rPr>
            </w:pPr>
            <w:r>
              <w:rPr>
                <w:rFonts w:ascii="Times New Roman" w:hAnsi="Times New Roman" w:cs="Times New Roman"/>
                <w:b w:val="0"/>
                <w:bCs/>
                <w:kern w:val="0"/>
                <w:szCs w:val="21"/>
                <w:highlight w:val="none"/>
              </w:rPr>
              <w:t>202</w:t>
            </w:r>
            <w:r>
              <w:rPr>
                <w:rFonts w:hint="eastAsia" w:ascii="Times New Roman" w:hAnsi="Times New Roman" w:cs="Times New Roman"/>
                <w:b w:val="0"/>
                <w:bCs/>
                <w:kern w:val="0"/>
                <w:szCs w:val="21"/>
                <w:highlight w:val="none"/>
                <w:lang w:val="en-US" w:eastAsia="zh-CN"/>
              </w:rPr>
              <w:t>5</w:t>
            </w:r>
            <w:r>
              <w:rPr>
                <w:rFonts w:ascii="Times New Roman" w:hAnsi="Times New Roman" w:cs="Times New Roman"/>
                <w:b w:val="0"/>
                <w:bCs/>
                <w:kern w:val="0"/>
                <w:szCs w:val="21"/>
                <w:highlight w:val="none"/>
              </w:rPr>
              <w:t>年0</w:t>
            </w:r>
            <w:r>
              <w:rPr>
                <w:rFonts w:hint="eastAsia" w:ascii="Times New Roman" w:hAnsi="Times New Roman" w:cs="Times New Roman"/>
                <w:b w:val="0"/>
                <w:bCs/>
                <w:kern w:val="0"/>
                <w:szCs w:val="21"/>
                <w:highlight w:val="none"/>
                <w:lang w:val="en-US" w:eastAsia="zh-CN"/>
              </w:rPr>
              <w:t>1</w:t>
            </w:r>
            <w:r>
              <w:rPr>
                <w:rFonts w:ascii="Times New Roman" w:hAnsi="Times New Roman" w:cs="Times New Roman"/>
                <w:b w:val="0"/>
                <w:bCs/>
                <w:kern w:val="0"/>
                <w:szCs w:val="21"/>
                <w:highlight w:val="none"/>
              </w:rPr>
              <w:t>月</w:t>
            </w:r>
            <w:r>
              <w:rPr>
                <w:rFonts w:hint="eastAsia" w:ascii="Times New Roman" w:hAnsi="Times New Roman" w:cs="Times New Roman"/>
                <w:b w:val="0"/>
                <w:bCs/>
                <w:kern w:val="0"/>
                <w:szCs w:val="21"/>
                <w:highlight w:val="none"/>
                <w:lang w:val="en-US" w:eastAsia="zh-CN"/>
              </w:rPr>
              <w:t>16</w:t>
            </w:r>
            <w:r>
              <w:rPr>
                <w:rFonts w:ascii="Times New Roman" w:hAnsi="Times New Roman" w:cs="Times New Roman"/>
                <w:b w:val="0"/>
                <w:bCs/>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color w:val="000000"/>
                <w:szCs w:val="21"/>
              </w:rPr>
              <w:t xml:space="preserve">第（ </w:t>
            </w:r>
            <w:bookmarkStart w:id="3" w:name="监督次数"/>
            <w:r>
              <w:rPr>
                <w:color w:val="000000"/>
                <w:szCs w:val="21"/>
              </w:rPr>
              <w:t>二</w:t>
            </w:r>
            <w:bookmarkEnd w:id="3"/>
            <w:r>
              <w:rPr>
                <w:color w:val="000000"/>
                <w:szCs w:val="21"/>
              </w:rPr>
              <w:t xml:space="preserve">  ）次监督审核 </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847"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01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15日上午-15</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623"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847" w:type="dxa"/>
            <w:vAlign w:val="center"/>
          </w:tcPr>
          <w:p>
            <w:pPr>
              <w:jc w:val="center"/>
              <w:rPr>
                <w:rFonts w:ascii="宋体" w:hAnsi="宋体" w:eastAsia="宋体" w:cs="Times New Roman"/>
                <w:bCs/>
                <w:sz w:val="21"/>
                <w:szCs w:val="21"/>
              </w:rPr>
            </w:pPr>
            <w:r>
              <w:rPr>
                <w:rFonts w:hint="eastAsia" w:ascii="宋体" w:hAnsi="宋体" w:eastAsia="宋体" w:cs="宋体"/>
                <w:bCs/>
                <w:sz w:val="21"/>
                <w:szCs w:val="21"/>
                <w:lang w:val="en-US" w:eastAsia="zh-CN"/>
              </w:rPr>
              <w:t xml:space="preserve"> </w:t>
            </w:r>
            <w:r>
              <w:rPr>
                <w:rFonts w:hint="eastAsia" w:ascii="宋体"/>
                <w:szCs w:val="21"/>
                <w:lang w:val="en-US" w:eastAsia="zh-CN"/>
              </w:rPr>
              <w:t>质检部、生技部（车间）、</w:t>
            </w:r>
            <w:r>
              <w:rPr>
                <w:rFonts w:hint="eastAsia" w:ascii="宋体" w:hAnsi="宋体" w:cs="宋体"/>
                <w:kern w:val="0"/>
                <w:szCs w:val="21"/>
                <w:lang w:eastAsia="zh-CN"/>
              </w:rPr>
              <w:t>供销部、办公室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胜利油田顺天节能技术有限公司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12月24</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。管理者代表代黄孝亮任</w:t>
      </w:r>
      <w:r>
        <w:rPr>
          <w:rFonts w:hint="eastAsia" w:ascii="宋体" w:hAnsi="宋体" w:cs="宋体"/>
          <w:bCs/>
          <w:kern w:val="0"/>
          <w:szCs w:val="21"/>
          <w:highlight w:val="none"/>
          <w:lang w:eastAsia="zh-CN"/>
        </w:rPr>
        <w:t>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01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05</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会议由企业总经理</w:t>
      </w:r>
      <w:r>
        <w:rPr>
          <w:rFonts w:hint="eastAsia"/>
          <w:bCs/>
          <w:szCs w:val="21"/>
          <w:highlight w:val="none"/>
          <w:lang w:eastAsia="zh-CN"/>
        </w:rPr>
        <w:t>王海峰</w:t>
      </w:r>
      <w:r>
        <w:rPr>
          <w:rFonts w:hint="eastAsia" w:ascii="宋体" w:hAnsi="宋体" w:cs="宋体"/>
          <w:bCs/>
          <w:kern w:val="0"/>
          <w:szCs w:val="21"/>
          <w:lang w:eastAsia="zh-CN"/>
        </w:rPr>
        <w:t>者</w:t>
      </w:r>
      <w:r>
        <w:rPr>
          <w:rFonts w:hint="eastAsia"/>
          <w:bCs/>
          <w:szCs w:val="21"/>
          <w:highlight w:val="none"/>
          <w:lang w:eastAsia="zh-CN"/>
        </w:rPr>
        <w:t>主持，</w:t>
      </w:r>
      <w:r>
        <w:rPr>
          <w:szCs w:val="21"/>
          <w:highlight w:val="none"/>
        </w:rPr>
        <w:t>管理者代表</w:t>
      </w:r>
      <w:r>
        <w:rPr>
          <w:rFonts w:hint="eastAsia"/>
          <w:szCs w:val="21"/>
          <w:highlight w:val="none"/>
          <w:lang w:eastAsia="zh-CN"/>
        </w:rPr>
        <w:t>及</w:t>
      </w:r>
      <w:r>
        <w:rPr>
          <w:szCs w:val="21"/>
          <w:highlight w:val="none"/>
        </w:rPr>
        <w:t>各部门</w:t>
      </w:r>
      <w:r>
        <w:rPr>
          <w:bCs/>
          <w:szCs w:val="21"/>
          <w:highlight w:val="none"/>
        </w:rPr>
        <w:t>汇报了体系运行情况和部门工作完成情况。</w:t>
      </w:r>
      <w:r>
        <w:rPr>
          <w:rFonts w:hint="eastAsia" w:ascii="宋体" w:hAnsi="宋体" w:cs="宋体"/>
          <w:bCs/>
          <w:kern w:val="0"/>
          <w:szCs w:val="21"/>
          <w:highlight w:val="none"/>
        </w:rPr>
        <w:t>会上肯定了公司测量管理体系的充分性、有效性和适宜性。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4" w:name="审核范围"/>
      <w:r>
        <w:rPr>
          <w:color w:val="000000"/>
          <w:szCs w:val="21"/>
        </w:rPr>
        <w:t>电动机、变频控制柜、油浸式电力变压器的生产（需许可资质的除外）；石油机械设备及配件、机电设备、仪器仪表、井口工具、五金建材、家用电器、办公用品、实验设备、办公家俱、土产杂品（不含烟花爆竹）、无人机及配件、低压成套开关设备、计算机配件、泵配件、汽车配件、压缩机及配件、五金工具、毛毡，灯具、低压电器、办公设备的销售</w:t>
      </w:r>
      <w:bookmarkEnd w:id="4"/>
      <w:r>
        <w:rPr>
          <w:color w:val="000000"/>
          <w:szCs w:val="21"/>
        </w:rPr>
        <w:t>等产品质量、经营管理、节能降耗、环境监测等方面有关的所有活动的测量过程、部门、场所，实际位置等</w:t>
      </w:r>
      <w:r>
        <w:rPr>
          <w:rFonts w:hint="eastAsia" w:ascii="宋体" w:hAnsi="宋体"/>
          <w:szCs w:val="21"/>
          <w:lang w:eastAsia="zh-CN"/>
        </w:rPr>
        <w:t>。</w:t>
      </w:r>
      <w:r>
        <w:rPr>
          <w:rFonts w:hint="eastAsia" w:ascii="Times New Roman" w:hAnsi="Times New Roman" w:cs="Times New Roman"/>
          <w:kern w:val="0"/>
          <w:szCs w:val="21"/>
          <w:lang w:eastAsia="zh-CN"/>
        </w:rPr>
        <w:t>质检部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ascii="Times New Roman" w:hAnsi="Times New Roman" w:cs="Times New Roman"/>
          <w:szCs w:val="21"/>
        </w:rPr>
        <w:t>永磁电机磁钢厚度尺寸</w:t>
      </w:r>
      <w:r>
        <w:rPr>
          <w:rFonts w:ascii="Times New Roman" w:hAnsi="Times New Roman" w:cs="Times New Roman"/>
          <w:bCs/>
          <w:kern w:val="0"/>
          <w:szCs w:val="21"/>
        </w:rPr>
        <w:t>测量</w:t>
      </w:r>
      <w:r>
        <w:rPr>
          <w:rFonts w:hint="eastAsia" w:ascii="宋体" w:hAnsi="宋体" w:cs="黑体"/>
          <w:szCs w:val="21"/>
        </w:rPr>
        <w:t>等</w:t>
      </w:r>
      <w:r>
        <w:rPr>
          <w:rFonts w:hint="eastAsia" w:ascii="宋体" w:hAnsi="宋体" w:cs="黑体"/>
          <w:szCs w:val="21"/>
          <w:lang w:val="en-US" w:eastAsia="zh-CN"/>
        </w:rPr>
        <w:t>34</w:t>
      </w:r>
      <w:r>
        <w:rPr>
          <w:rFonts w:hint="eastAsia" w:ascii="宋体" w:hAnsi="宋体"/>
          <w:b w:val="0"/>
          <w:bCs/>
          <w:snapToGrid w:val="0"/>
          <w:color w:val="auto"/>
          <w:kern w:val="0"/>
          <w:szCs w:val="21"/>
          <w:u w:val="none"/>
          <w:lang w:val="en-US" w:eastAsia="zh-CN"/>
        </w:rPr>
        <w:t>个</w:t>
      </w:r>
      <w:r>
        <w:rPr>
          <w:rFonts w:hint="eastAsia" w:ascii="宋体" w:hAnsi="宋体" w:cs="宋体"/>
          <w:bCs/>
          <w:kern w:val="0"/>
          <w:szCs w:val="21"/>
          <w:highlight w:val="none"/>
        </w:rPr>
        <w:t>测</w:t>
      </w:r>
      <w:r>
        <w:rPr>
          <w:rFonts w:hint="eastAsia" w:ascii="宋体" w:hAnsi="宋体" w:cs="宋体"/>
          <w:bCs/>
          <w:kern w:val="0"/>
          <w:szCs w:val="21"/>
        </w:rPr>
        <w:t>量过程</w:t>
      </w:r>
      <w:r>
        <w:rPr>
          <w:rFonts w:ascii="Times New Roman" w:hAnsi="Times New Roman" w:cs="Times New Roman"/>
          <w:bCs/>
          <w:kern w:val="0"/>
          <w:szCs w:val="21"/>
        </w:rPr>
        <w:t>，其中</w:t>
      </w:r>
      <w:r>
        <w:rPr>
          <w:rFonts w:hint="eastAsia" w:ascii="Times New Roman" w:hAnsi="Times New Roman" w:cs="Times New Roman"/>
          <w:bCs/>
          <w:kern w:val="0"/>
          <w:szCs w:val="21"/>
          <w:lang w:eastAsia="zh-CN"/>
        </w:rPr>
        <w:t>重要过程</w:t>
      </w:r>
      <w:r>
        <w:rPr>
          <w:rFonts w:hint="eastAsia" w:ascii="Times New Roman" w:hAnsi="Times New Roman" w:cs="Times New Roman"/>
          <w:bCs/>
          <w:kern w:val="0"/>
          <w:szCs w:val="21"/>
          <w:lang w:val="en-US" w:eastAsia="zh-CN"/>
        </w:rPr>
        <w:t>17项、</w:t>
      </w:r>
      <w:r>
        <w:rPr>
          <w:rFonts w:ascii="Times New Roman" w:hAnsi="Times New Roman" w:cs="Times New Roman"/>
          <w:bCs/>
          <w:kern w:val="0"/>
          <w:szCs w:val="21"/>
        </w:rPr>
        <w:t>关键测量过程</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r>
        <w:rPr>
          <w:rFonts w:hint="eastAsia" w:ascii="宋体" w:hAnsi="宋体" w:cs="宋体"/>
          <w:bCs/>
          <w:kern w:val="0"/>
          <w:szCs w:val="21"/>
        </w:rPr>
        <w:t>。</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38</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Times New Roman" w:hAnsi="Times New Roman" w:eastAsia="宋体" w:cs="Times New Roman"/>
          <w:szCs w:val="21"/>
          <w:lang w:eastAsia="zh-CN"/>
        </w:rPr>
        <w:t>永磁电机磁钢厚度尺寸测量过程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，查原“</w:t>
      </w:r>
      <w:r>
        <w:rPr>
          <w:rFonts w:hint="eastAsia" w:ascii="Times New Roman" w:hAnsi="Times New Roman" w:eastAsia="宋体" w:cs="Times New Roman"/>
          <w:szCs w:val="21"/>
          <w:lang w:eastAsia="zh-CN"/>
        </w:rPr>
        <w:t>永磁电机磁钢厚度尺寸测量过程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Times New Roman" w:hAnsi="Times New Roman" w:eastAsia="宋体" w:cs="Times New Roman"/>
          <w:szCs w:val="21"/>
          <w:lang w:eastAsia="zh-CN"/>
        </w:rPr>
        <w:t>永磁电机磁钢厚度尺寸测量过程</w:t>
      </w:r>
      <w:r>
        <w:rPr>
          <w:rFonts w:ascii="Times New Roman" w:hAnsi="Times New Roman" w:cs="Times New Roman"/>
          <w:bCs/>
          <w:kern w:val="0"/>
          <w:sz w:val="21"/>
          <w:szCs w:val="21"/>
        </w:rPr>
        <w:t>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ascii="Times New Roman" w:hAnsi="Times New Roman" w:eastAsia="宋体" w:cs="Times New Roman"/>
          <w:szCs w:val="21"/>
          <w:lang w:eastAsia="zh-CN"/>
        </w:rPr>
        <w:t>永磁电机磁钢厚度尺寸测量过程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widowControl/>
        <w:spacing w:line="360" w:lineRule="auto"/>
        <w:rPr>
          <w:rFonts w:hint="eastAsia" w:ascii="Times New Roman" w:hAnsi="Times New Roman" w:cs="Times New Roman" w:eastAsiaTheme="minorEastAsia"/>
          <w:bCs/>
          <w:color w:val="auto"/>
          <w:kern w:val="0"/>
          <w:sz w:val="21"/>
          <w:szCs w:val="21"/>
          <w:lang w:val="en-US" w:eastAsia="zh-CN"/>
        </w:rPr>
      </w:pPr>
      <w:r>
        <w:rPr>
          <w:rFonts w:ascii="Times New Roman" w:hAnsi="Times New Roman" w:cs="Times New Roman"/>
          <w:bCs/>
          <w:kern w:val="0"/>
          <w:sz w:val="21"/>
          <w:szCs w:val="21"/>
        </w:rPr>
        <w:t>4.</w:t>
      </w:r>
      <w:r>
        <w:rPr>
          <w:rFonts w:hint="eastAsia" w:ascii="Times New Roman" w:hAnsi="Times New Roman" w:cs="Times New Roman"/>
          <w:bCs/>
          <w:kern w:val="0"/>
          <w:sz w:val="21"/>
          <w:szCs w:val="21"/>
          <w:lang w:val="en-US" w:eastAsia="zh-CN"/>
        </w:rPr>
        <w:t>6</w:t>
      </w:r>
      <w:r>
        <w:rPr>
          <w:rFonts w:hint="eastAsia" w:cs="宋体" w:asciiTheme="minorEastAsia" w:hAnsiTheme="minorEastAsia"/>
          <w:color w:val="auto"/>
          <w:kern w:val="0"/>
          <w:sz w:val="21"/>
          <w:szCs w:val="21"/>
        </w:rPr>
        <w:t>测量设备的溯源：</w:t>
      </w:r>
      <w:r>
        <w:rPr>
          <w:rFonts w:hint="eastAsia" w:cs="宋体" w:asciiTheme="minorEastAsia" w:hAnsiTheme="minorEastAsia"/>
          <w:color w:val="auto"/>
          <w:kern w:val="0"/>
          <w:sz w:val="21"/>
          <w:szCs w:val="21"/>
          <w:lang w:eastAsia="zh-CN"/>
        </w:rPr>
        <w:t>企业未</w:t>
      </w:r>
      <w:r>
        <w:rPr>
          <w:rFonts w:hint="eastAsia" w:ascii="宋体" w:hAnsi="宋体" w:eastAsia="宋体"/>
          <w:bCs/>
          <w:color w:val="auto"/>
          <w:sz w:val="21"/>
          <w:szCs w:val="21"/>
        </w:rPr>
        <w:t>建立最高标准，企业测量设备除自检外送</w:t>
      </w:r>
      <w:r>
        <w:rPr>
          <w:rFonts w:hint="eastAsia" w:ascii="宋体" w:hAnsi="宋体" w:eastAsia="宋体"/>
          <w:bCs/>
          <w:color w:val="auto"/>
          <w:sz w:val="21"/>
          <w:szCs w:val="21"/>
          <w:lang w:eastAsia="zh-CN"/>
        </w:rPr>
        <w:t>“</w:t>
      </w:r>
      <w:r>
        <w:rPr>
          <w:rFonts w:hint="eastAsia"/>
          <w:sz w:val="21"/>
          <w:szCs w:val="21"/>
          <w:lang w:eastAsia="zh-CN"/>
        </w:rPr>
        <w:t>深圳市汇科计量检测技术有限公司</w:t>
      </w:r>
      <w:r>
        <w:rPr>
          <w:rFonts w:hint="eastAsia" w:cs="Tahoma"/>
          <w:color w:val="auto"/>
          <w:sz w:val="21"/>
          <w:szCs w:val="21"/>
          <w:lang w:eastAsia="zh-CN"/>
        </w:rPr>
        <w:t>”，</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L3919、“</w:t>
      </w:r>
      <w:r>
        <w:rPr>
          <w:rFonts w:hint="eastAsia" w:ascii="宋体" w:hAnsi="宋体" w:eastAsia="宋体" w:cstheme="majorEastAsia"/>
          <w:color w:val="000000" w:themeColor="text1"/>
          <w:sz w:val="21"/>
          <w:szCs w:val="21"/>
        </w:rPr>
        <w:t>东营市计量测试检定所</w:t>
      </w:r>
      <w:r>
        <w:rPr>
          <w:rFonts w:hint="default" w:asciiTheme="majorEastAsia" w:hAnsiTheme="majorEastAsia" w:eastAsiaTheme="majorEastAsia"/>
          <w:sz w:val="21"/>
          <w:szCs w:val="21"/>
          <w:lang w:val="en-US" w:eastAsia="zh-CN"/>
        </w:rPr>
        <w:t>”</w:t>
      </w:r>
      <w:r>
        <w:rPr>
          <w:rFonts w:hint="eastAsia" w:cs="Tahoma"/>
          <w:color w:val="auto"/>
          <w:sz w:val="21"/>
          <w:szCs w:val="21"/>
          <w:lang w:eastAsia="zh-CN"/>
        </w:rPr>
        <w:t>，</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L4863、</w:t>
      </w:r>
      <w:r>
        <w:rPr>
          <w:rFonts w:hint="eastAsia"/>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7份校准证书</w:t>
      </w:r>
      <w:r>
        <w:rPr>
          <w:rFonts w:hint="eastAsia" w:ascii="宋体" w:hAnsi="宋体" w:eastAsia="宋体" w:cs="宋体"/>
          <w:color w:val="auto"/>
          <w:sz w:val="21"/>
          <w:szCs w:val="21"/>
          <w:highlight w:val="none"/>
        </w:rPr>
        <w:t>，证书中使用的计量标准符合要求，填写规范，信息无遗漏，授权人</w:t>
      </w:r>
      <w:r>
        <w:rPr>
          <w:rFonts w:ascii="Times New Roman" w:hAnsi="Times New Roman"/>
          <w:color w:val="auto"/>
          <w:sz w:val="21"/>
          <w:szCs w:val="21"/>
          <w:highlight w:val="none"/>
        </w:rPr>
        <w:t>签章资质有效，符合要求。详见附件《测量设备溯源抽查表》。</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bCs/>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hAnsi="宋体" w:cs="宋体"/>
          <w:kern w:val="0"/>
          <w:szCs w:val="21"/>
          <w:lang w:eastAsia="zh-CN"/>
        </w:rPr>
        <w:t>质检部提供的</w:t>
      </w:r>
      <w:r>
        <w:rPr>
          <w:rFonts w:hint="eastAsia" w:ascii="宋体" w:hAnsi="宋体" w:cs="宋体"/>
          <w:kern w:val="0"/>
          <w:szCs w:val="21"/>
        </w:rPr>
        <w:t xml:space="preserve"> “</w:t>
      </w:r>
      <w:r>
        <w:rPr>
          <w:rFonts w:hint="eastAsia" w:ascii="宋体" w:hAnsi="宋体" w:cs="宋体"/>
          <w:kern w:val="0"/>
          <w:szCs w:val="21"/>
          <w:lang w:eastAsia="zh-CN"/>
        </w:rPr>
        <w:t>多功能变频电动机生产质检记录</w:t>
      </w:r>
      <w:r>
        <w:rPr>
          <w:rFonts w:hint="eastAsia" w:ascii="宋体" w:hAnsi="宋体" w:cs="宋体"/>
          <w:kern w:val="0"/>
          <w:szCs w:val="21"/>
        </w:rPr>
        <w:t>”；记录编号</w:t>
      </w:r>
      <w:r>
        <w:rPr>
          <w:rFonts w:hint="eastAsia" w:ascii="宋体" w:hAnsi="宋体" w:cs="宋体"/>
          <w:kern w:val="0"/>
          <w:szCs w:val="21"/>
          <w:lang w:val="en-US" w:eastAsia="zh-CN"/>
        </w:rPr>
        <w:t>STJN-JL-49</w:t>
      </w:r>
      <w:r>
        <w:rPr>
          <w:rFonts w:hint="eastAsia" w:ascii="宋体" w:hAnsi="宋体" w:cs="宋体"/>
          <w:kern w:val="0"/>
          <w:szCs w:val="21"/>
        </w:rPr>
        <w:t>；</w:t>
      </w:r>
      <w:r>
        <w:rPr>
          <w:rFonts w:hint="eastAsia" w:ascii="宋体" w:hAnsi="宋体" w:cs="宋体"/>
          <w:kern w:val="0"/>
          <w:szCs w:val="21"/>
          <w:lang w:eastAsia="zh-CN"/>
        </w:rPr>
        <w:t>产品编号</w:t>
      </w:r>
      <w:r>
        <w:rPr>
          <w:rFonts w:hint="eastAsia" w:ascii="宋体" w:hAnsi="宋体" w:cs="宋体"/>
          <w:kern w:val="0"/>
          <w:szCs w:val="21"/>
        </w:rPr>
        <w:t>：</w:t>
      </w:r>
      <w:r>
        <w:rPr>
          <w:rFonts w:hint="eastAsia" w:ascii="宋体" w:hAnsi="宋体" w:cs="宋体"/>
          <w:kern w:val="0"/>
          <w:szCs w:val="21"/>
          <w:lang w:val="en-US" w:eastAsia="zh-CN"/>
        </w:rPr>
        <w:t>DS2020886</w:t>
      </w:r>
      <w:r>
        <w:rPr>
          <w:rFonts w:hint="eastAsia" w:ascii="宋体" w:hAnsi="宋体" w:cs="宋体"/>
          <w:kern w:val="0"/>
          <w:szCs w:val="21"/>
        </w:rPr>
        <w:t>；</w:t>
      </w:r>
      <w:r>
        <w:rPr>
          <w:rFonts w:hint="eastAsia" w:ascii="宋体" w:hAnsi="宋体" w:cs="宋体"/>
          <w:kern w:val="0"/>
          <w:szCs w:val="21"/>
          <w:lang w:eastAsia="zh-CN"/>
        </w:rPr>
        <w:t>其中电机检查试验</w:t>
      </w:r>
      <w:r>
        <w:rPr>
          <w:rFonts w:hint="eastAsia" w:ascii="宋体" w:hAnsi="宋体" w:cs="宋体"/>
          <w:kern w:val="0"/>
          <w:szCs w:val="21"/>
        </w:rPr>
        <w:t>中</w:t>
      </w:r>
      <w:r>
        <w:rPr>
          <w:rFonts w:hint="eastAsia" w:ascii="宋体" w:hAnsi="宋体" w:cs="宋体"/>
          <w:kern w:val="0"/>
          <w:szCs w:val="21"/>
          <w:lang w:eastAsia="zh-CN"/>
        </w:rPr>
        <w:t>，试验</w:t>
      </w:r>
      <w:r>
        <w:rPr>
          <w:rFonts w:hint="eastAsia" w:ascii="宋体" w:hAnsi="宋体" w:cs="宋体"/>
          <w:kern w:val="0"/>
          <w:szCs w:val="21"/>
        </w:rPr>
        <w:t>日期：202</w:t>
      </w:r>
      <w:r>
        <w:rPr>
          <w:rFonts w:hint="eastAsia" w:ascii="宋体" w:hAnsi="宋体" w:cs="宋体"/>
          <w:kern w:val="0"/>
          <w:szCs w:val="21"/>
          <w:lang w:val="en-US" w:eastAsia="zh-CN"/>
        </w:rPr>
        <w:t>0</w:t>
      </w:r>
      <w:r>
        <w:rPr>
          <w:rFonts w:hint="eastAsia" w:ascii="宋体" w:hAnsi="宋体" w:cs="宋体"/>
          <w:kern w:val="0"/>
          <w:szCs w:val="21"/>
        </w:rPr>
        <w:t>年1</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22</w:t>
      </w:r>
      <w:r>
        <w:rPr>
          <w:rFonts w:hint="eastAsia" w:ascii="宋体" w:hAnsi="宋体" w:cs="宋体"/>
          <w:kern w:val="0"/>
          <w:szCs w:val="21"/>
        </w:rPr>
        <w:t>日，没使用检验设备信息。</w:t>
      </w:r>
      <w:r>
        <w:rPr>
          <w:rFonts w:hint="eastAsia" w:ascii="宋体" w:hAnsi="宋体" w:cs="宋体"/>
          <w:color w:val="auto"/>
          <w:kern w:val="0"/>
          <w:szCs w:val="21"/>
        </w:rPr>
        <w:t>不符合GB/T19022-2003标准中</w:t>
      </w:r>
      <w:r>
        <w:rPr>
          <w:rFonts w:hint="eastAsia" w:ascii="宋体" w:hAnsi="宋体" w:cs="宋体"/>
          <w:color w:val="auto"/>
          <w:kern w:val="0"/>
          <w:szCs w:val="21"/>
          <w:lang w:val="en-US" w:eastAsia="zh-CN"/>
        </w:rPr>
        <w:t>7.2.4</w:t>
      </w:r>
      <w:r>
        <w:rPr>
          <w:rFonts w:hint="eastAsia" w:ascii="宋体" w:hAnsi="宋体" w:cs="宋体"/>
          <w:color w:val="auto"/>
          <w:kern w:val="0"/>
          <w:szCs w:val="21"/>
        </w:rPr>
        <w:t>条款</w:t>
      </w:r>
      <w:r>
        <w:rPr>
          <w:rFonts w:hint="eastAsia" w:ascii="宋体" w:hAnsi="宋体"/>
          <w:szCs w:val="21"/>
          <w:u w:val="none"/>
          <w:lang w:val="en-US" w:eastAsia="zh-CN"/>
        </w:rPr>
        <w:t>”</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spacing w:line="360" w:lineRule="auto"/>
        <w:ind w:firstLine="420" w:firstLineChars="200"/>
        <w:jc w:val="left"/>
        <w:rPr>
          <w:rFonts w:hint="eastAsia"/>
          <w:szCs w:val="21"/>
          <w:lang w:eastAsia="zh-CN"/>
        </w:rPr>
      </w:pPr>
      <w:r>
        <w:rPr>
          <w:rFonts w:hint="eastAsia" w:ascii="宋体" w:hAnsi="宋体" w:cs="宋体"/>
          <w:bCs/>
          <w:kern w:val="0"/>
          <w:szCs w:val="21"/>
        </w:rPr>
        <w:t>公司目前尚未接到客户在</w:t>
      </w:r>
      <w:r>
        <w:rPr>
          <w:rFonts w:hint="eastAsia" w:ascii="宋体" w:hAnsi="宋体" w:cs="宋体"/>
          <w:bCs/>
          <w:kern w:val="0"/>
          <w:szCs w:val="21"/>
          <w:lang w:eastAsia="zh-CN"/>
        </w:rPr>
        <w:t>生产</w:t>
      </w:r>
      <w:r>
        <w:rPr>
          <w:rFonts w:hint="eastAsia" w:ascii="宋体" w:hAnsi="宋体" w:cs="宋体"/>
          <w:bCs/>
          <w:kern w:val="0"/>
          <w:szCs w:val="21"/>
        </w:rPr>
        <w:t>产品</w:t>
      </w:r>
      <w:r>
        <w:rPr>
          <w:rFonts w:hint="eastAsia" w:ascii="宋体" w:hAnsi="宋体" w:cs="宋体"/>
          <w:bCs/>
          <w:kern w:val="0"/>
          <w:szCs w:val="21"/>
          <w:lang w:eastAsia="zh-CN"/>
        </w:rPr>
        <w:t>、销售产品在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生产产品</w:t>
      </w:r>
      <w:r>
        <w:rPr>
          <w:rFonts w:hint="eastAsia"/>
          <w:szCs w:val="21"/>
          <w:lang w:eastAsia="zh-CN"/>
        </w:rPr>
        <w:t>和销售产品均能</w:t>
      </w:r>
      <w:r>
        <w:rPr>
          <w:szCs w:val="21"/>
        </w:rPr>
        <w:t>够满足顾客</w:t>
      </w:r>
      <w:r>
        <w:rPr>
          <w:rFonts w:hint="eastAsia"/>
          <w:szCs w:val="21"/>
          <w:lang w:eastAsia="zh-CN"/>
        </w:rPr>
        <w:t>在</w:t>
      </w:r>
      <w:r>
        <w:rPr>
          <w:szCs w:val="21"/>
        </w:rPr>
        <w:t>行业标准对产品</w:t>
      </w:r>
      <w:r>
        <w:rPr>
          <w:rFonts w:hint="eastAsia"/>
          <w:szCs w:val="21"/>
          <w:lang w:eastAsia="zh-CN"/>
        </w:rPr>
        <w:t>和销售</w:t>
      </w:r>
      <w:r>
        <w:rPr>
          <w:szCs w:val="21"/>
        </w:rPr>
        <w:t>的要求。产品质量较好，未有顾客投诉。顾客</w:t>
      </w:r>
      <w:r>
        <w:rPr>
          <w:rFonts w:hint="eastAsia"/>
          <w:szCs w:val="21"/>
          <w:lang w:eastAsia="zh-CN"/>
        </w:rPr>
        <w:t>满意度达到标准要求。</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项，质量目标与计量方针一致。202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年度质量目标已分解。抽查企业</w:t>
      </w:r>
      <w:r>
        <w:rPr>
          <w:rFonts w:hint="eastAsia" w:cs="宋体" w:asciiTheme="minorEastAsia" w:hAnsiTheme="minorEastAsia"/>
          <w:bCs/>
          <w:kern w:val="0"/>
          <w:szCs w:val="21"/>
          <w:lang w:val="en-US" w:eastAsia="zh-CN"/>
        </w:rPr>
        <w:t>1-12月4</w:t>
      </w:r>
      <w:r>
        <w:rPr>
          <w:rFonts w:hint="eastAsia" w:cs="宋体" w:asciiTheme="minorEastAsia" w:hAnsiTheme="minor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bookmarkStart w:id="6" w:name="_GoBack"/>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营业执照无变更，</w:t>
      </w:r>
      <w:r>
        <w:rPr>
          <w:rFonts w:hint="eastAsia" w:ascii="宋体" w:hAnsi="宋体" w:cs="宋体"/>
          <w:b w:val="0"/>
          <w:bCs/>
          <w:kern w:val="0"/>
          <w:szCs w:val="21"/>
          <w:highlight w:val="none"/>
          <w:lang w:val="en-US" w:eastAsia="zh-CN"/>
        </w:rPr>
        <w:t>认证范围、</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bookmarkEnd w:id="6"/>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Times New Roman" w:hAnsi="Times New Roman" w:eastAsia="宋体" w:cs="Times New Roman"/>
          <w:bCs/>
          <w:color w:val="auto"/>
          <w:kern w:val="0"/>
          <w:sz w:val="21"/>
          <w:szCs w:val="21"/>
          <w:highlight w:val="none"/>
          <w:lang w:val="en-US" w:eastAsia="zh-CN"/>
        </w:rPr>
        <w:t>对</w:t>
      </w:r>
      <w:r>
        <w:rPr>
          <w:rFonts w:hint="eastAsia" w:ascii="Times New Roman" w:hAnsi="Times New Roman" w:cs="Times New Roman"/>
          <w:bCs/>
          <w:color w:val="auto"/>
          <w:kern w:val="0"/>
          <w:sz w:val="21"/>
          <w:szCs w:val="21"/>
          <w:highlight w:val="none"/>
          <w:lang w:val="en-US" w:eastAsia="zh-CN"/>
        </w:rPr>
        <w:t>合格</w:t>
      </w:r>
      <w:r>
        <w:rPr>
          <w:rFonts w:hint="eastAsia" w:ascii="Times New Roman" w:hAnsi="Times New Roman" w:eastAsia="宋体" w:cs="Times New Roman"/>
          <w:bCs/>
          <w:color w:val="auto"/>
          <w:kern w:val="0"/>
          <w:sz w:val="21"/>
          <w:szCs w:val="21"/>
          <w:highlight w:val="none"/>
          <w:lang w:val="en-US" w:eastAsia="zh-CN"/>
        </w:rPr>
        <w:t>服务方“</w:t>
      </w:r>
      <w:r>
        <w:rPr>
          <w:rFonts w:hint="eastAsia"/>
          <w:sz w:val="21"/>
          <w:szCs w:val="21"/>
          <w:lang w:eastAsia="zh-CN"/>
        </w:rPr>
        <w:t>深圳市汇科计量检测技术有限公司</w:t>
      </w:r>
      <w:r>
        <w:rPr>
          <w:rFonts w:hint="eastAsia" w:ascii="宋体" w:hAnsi="宋体" w:cs="宋体"/>
          <w:i w:val="0"/>
          <w:iCs w:val="0"/>
          <w:color w:val="auto"/>
          <w:sz w:val="21"/>
          <w:szCs w:val="21"/>
          <w:lang w:val="en-US" w:eastAsia="zh-CN"/>
        </w:rPr>
        <w:t>”未能</w:t>
      </w:r>
      <w:r>
        <w:rPr>
          <w:rFonts w:hint="eastAsia" w:ascii="Times New Roman" w:hAnsi="Times New Roman" w:eastAsia="宋体" w:cs="Times New Roman"/>
          <w:bCs/>
          <w:color w:val="auto"/>
          <w:kern w:val="0"/>
          <w:sz w:val="21"/>
          <w:szCs w:val="21"/>
          <w:highlight w:val="none"/>
          <w:lang w:val="en-US" w:eastAsia="zh-CN"/>
        </w:rPr>
        <w:t>提供的服务质量评</w:t>
      </w:r>
      <w:r>
        <w:rPr>
          <w:rFonts w:hint="eastAsia" w:ascii="Times New Roman" w:hAnsi="Times New Roman" w:cs="Times New Roman"/>
          <w:bCs/>
          <w:color w:val="auto"/>
          <w:kern w:val="0"/>
          <w:sz w:val="21"/>
          <w:szCs w:val="21"/>
          <w:highlight w:val="none"/>
          <w:lang w:val="en-US" w:eastAsia="zh-CN"/>
        </w:rPr>
        <w:t>审</w:t>
      </w:r>
      <w:r>
        <w:rPr>
          <w:rFonts w:hint="eastAsia" w:ascii="Times New Roman" w:hAnsi="Times New Roman" w:eastAsia="宋体" w:cs="Times New Roman"/>
          <w:bCs/>
          <w:color w:val="auto"/>
          <w:kern w:val="0"/>
          <w:sz w:val="21"/>
          <w:szCs w:val="21"/>
          <w:highlight w:val="none"/>
          <w:lang w:val="en-US" w:eastAsia="zh-CN"/>
        </w:rPr>
        <w:t>的记录</w:t>
      </w:r>
      <w:r>
        <w:rPr>
          <w:rFonts w:hint="eastAsia" w:ascii="宋体" w:hAnsi="宋体" w:eastAsia="宋体" w:cs="宋体"/>
          <w:kern w:val="0"/>
          <w:sz w:val="21"/>
          <w:szCs w:val="21"/>
          <w:lang w:eastAsia="zh-CN"/>
        </w:rPr>
        <w:t>。</w:t>
      </w:r>
      <w:r>
        <w:rPr>
          <w:rFonts w:hint="eastAsia" w:ascii="宋体" w:hAnsi="宋体"/>
          <w:sz w:val="21"/>
          <w:szCs w:val="21"/>
          <w:highlight w:val="none"/>
        </w:rPr>
        <w:t>不满足标准GB/T 19022-2003</w:t>
      </w:r>
      <w:r>
        <w:rPr>
          <w:rFonts w:hint="eastAsia" w:ascii="宋体" w:hAnsi="宋体"/>
          <w:sz w:val="21"/>
          <w:szCs w:val="21"/>
          <w:highlight w:val="none"/>
          <w:lang w:eastAsia="zh-CN"/>
        </w:rPr>
        <w:t>标准</w:t>
      </w:r>
      <w:r>
        <w:rPr>
          <w:rFonts w:hint="eastAsia" w:ascii="宋体" w:hAnsi="宋体"/>
          <w:sz w:val="21"/>
          <w:szCs w:val="21"/>
          <w:highlight w:val="none"/>
          <w:lang w:val="en-US" w:eastAsia="zh-CN"/>
        </w:rPr>
        <w:t>6.4条款外部供方</w:t>
      </w:r>
      <w:r>
        <w:rPr>
          <w:rFonts w:hint="eastAsia" w:ascii="宋体" w:hAnsi="宋体"/>
          <w:sz w:val="21"/>
          <w:szCs w:val="21"/>
          <w:highlight w:val="none"/>
          <w:lang w:eastAsia="zh-CN"/>
        </w:rPr>
        <w:t>的规定</w:t>
      </w:r>
      <w:r>
        <w:rPr>
          <w:rFonts w:hint="eastAsia" w:ascii="宋体" w:hAnsi="宋体"/>
          <w:sz w:val="21"/>
          <w:szCs w:val="21"/>
          <w:highlight w:val="none"/>
        </w:rPr>
        <w:t>要求。</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7.01</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b w:val="0"/>
          <w:bCs/>
          <w:szCs w:val="21"/>
          <w:highlight w:val="none"/>
          <w:lang w:val="en-US"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15上午-01月15日下午</w:t>
      </w:r>
      <w:r>
        <w:rPr>
          <w:rFonts w:hint="eastAsia" w:ascii="宋体" w:hAnsi="宋体" w:cs="宋体"/>
          <w:bCs/>
          <w:color w:val="auto"/>
          <w:kern w:val="0"/>
          <w:szCs w:val="21"/>
        </w:rPr>
        <w:t>，对</w:t>
      </w:r>
      <w:r>
        <w:rPr>
          <w:rFonts w:hint="eastAsia" w:ascii="宋体" w:hAnsi="宋体"/>
          <w:color w:val="auto"/>
          <w:szCs w:val="21"/>
          <w:lang w:eastAsia="zh-CN"/>
        </w:rPr>
        <w:t>胜利油田顺天节能技术有限公司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胜利油田顺天节能技术有限公司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1、建议企业内审员参加培训、满足测量体系</w:t>
      </w:r>
      <w:r>
        <w:rPr>
          <w:rFonts w:hint="eastAsia" w:ascii="Times New Roman" w:hAnsi="Times New Roman" w:cs="Times New Roman"/>
          <w:bCs/>
          <w:kern w:val="0"/>
          <w:szCs w:val="21"/>
          <w:lang w:eastAsia="zh-CN"/>
        </w:rPr>
        <w:t>认证工作的需求</w:t>
      </w:r>
    </w:p>
    <w:p>
      <w:pPr>
        <w:widowControl/>
        <w:numPr>
          <w:ilvl w:val="0"/>
          <w:numId w:val="0"/>
        </w:numPr>
        <w:spacing w:line="360" w:lineRule="auto"/>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2022.01.15</w:t>
      </w:r>
    </w:p>
    <w:p>
      <w:pPr>
        <w:widowControl/>
        <w:spacing w:line="360" w:lineRule="auto"/>
        <w:rPr>
          <w:rFonts w:hint="eastAsia" w:ascii="宋体" w:hAnsi="宋体" w:cs="宋体"/>
          <w:b/>
          <w:bCs/>
          <w:kern w:val="0"/>
          <w:szCs w:val="21"/>
        </w:rPr>
      </w:pP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5"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47B5"/>
    <w:rsid w:val="00DB47DA"/>
    <w:rsid w:val="011662FE"/>
    <w:rsid w:val="019126B1"/>
    <w:rsid w:val="03B215BD"/>
    <w:rsid w:val="03E563DD"/>
    <w:rsid w:val="049D6929"/>
    <w:rsid w:val="05FD5174"/>
    <w:rsid w:val="07A22038"/>
    <w:rsid w:val="07F6331D"/>
    <w:rsid w:val="081433FF"/>
    <w:rsid w:val="0866484A"/>
    <w:rsid w:val="08AF38B7"/>
    <w:rsid w:val="08C9577B"/>
    <w:rsid w:val="09851FB9"/>
    <w:rsid w:val="09B61F16"/>
    <w:rsid w:val="0CC1767E"/>
    <w:rsid w:val="0DE1402D"/>
    <w:rsid w:val="0E594764"/>
    <w:rsid w:val="1051458B"/>
    <w:rsid w:val="108331D1"/>
    <w:rsid w:val="10FC7F7C"/>
    <w:rsid w:val="11261FFC"/>
    <w:rsid w:val="12475FB7"/>
    <w:rsid w:val="12730AAA"/>
    <w:rsid w:val="13F3655E"/>
    <w:rsid w:val="145913C3"/>
    <w:rsid w:val="18314892"/>
    <w:rsid w:val="18895737"/>
    <w:rsid w:val="1ACA15A5"/>
    <w:rsid w:val="1B701893"/>
    <w:rsid w:val="1D644926"/>
    <w:rsid w:val="1E0679E2"/>
    <w:rsid w:val="1E507DB8"/>
    <w:rsid w:val="1F30615A"/>
    <w:rsid w:val="1FB73513"/>
    <w:rsid w:val="20245D89"/>
    <w:rsid w:val="21C517C9"/>
    <w:rsid w:val="2253747B"/>
    <w:rsid w:val="228F589D"/>
    <w:rsid w:val="238D590A"/>
    <w:rsid w:val="23A02834"/>
    <w:rsid w:val="23E3439E"/>
    <w:rsid w:val="259C7022"/>
    <w:rsid w:val="25FE255B"/>
    <w:rsid w:val="27816C16"/>
    <w:rsid w:val="27954974"/>
    <w:rsid w:val="291770A1"/>
    <w:rsid w:val="299E6A98"/>
    <w:rsid w:val="2B030917"/>
    <w:rsid w:val="2B1B5880"/>
    <w:rsid w:val="2B8820D1"/>
    <w:rsid w:val="2C4F0E75"/>
    <w:rsid w:val="2E0B23F6"/>
    <w:rsid w:val="2E42048A"/>
    <w:rsid w:val="2E9535C2"/>
    <w:rsid w:val="2F3769D8"/>
    <w:rsid w:val="2F98679A"/>
    <w:rsid w:val="313D2294"/>
    <w:rsid w:val="31647056"/>
    <w:rsid w:val="320B7E64"/>
    <w:rsid w:val="321A44F5"/>
    <w:rsid w:val="328D7A02"/>
    <w:rsid w:val="32A1519D"/>
    <w:rsid w:val="33E861D3"/>
    <w:rsid w:val="356A4FB1"/>
    <w:rsid w:val="363F5E2D"/>
    <w:rsid w:val="36BD22BD"/>
    <w:rsid w:val="38086043"/>
    <w:rsid w:val="382A5B08"/>
    <w:rsid w:val="3868400B"/>
    <w:rsid w:val="38880CD0"/>
    <w:rsid w:val="39571FC5"/>
    <w:rsid w:val="39EA584B"/>
    <w:rsid w:val="3AA660B4"/>
    <w:rsid w:val="3B061D57"/>
    <w:rsid w:val="3BAF7989"/>
    <w:rsid w:val="3F903830"/>
    <w:rsid w:val="408706D3"/>
    <w:rsid w:val="40A07680"/>
    <w:rsid w:val="44C42B5F"/>
    <w:rsid w:val="46184AD1"/>
    <w:rsid w:val="46771B56"/>
    <w:rsid w:val="49F92A91"/>
    <w:rsid w:val="4A126716"/>
    <w:rsid w:val="4ABD7835"/>
    <w:rsid w:val="4BD16FB0"/>
    <w:rsid w:val="4EC027DE"/>
    <w:rsid w:val="4F822A24"/>
    <w:rsid w:val="50343647"/>
    <w:rsid w:val="505F1232"/>
    <w:rsid w:val="50FA73B2"/>
    <w:rsid w:val="5133471D"/>
    <w:rsid w:val="52977792"/>
    <w:rsid w:val="52D06ACC"/>
    <w:rsid w:val="53E204EF"/>
    <w:rsid w:val="53FD699A"/>
    <w:rsid w:val="547C6B4F"/>
    <w:rsid w:val="548C10AE"/>
    <w:rsid w:val="553819D4"/>
    <w:rsid w:val="55846126"/>
    <w:rsid w:val="56A52AE7"/>
    <w:rsid w:val="56AF49FF"/>
    <w:rsid w:val="57961E25"/>
    <w:rsid w:val="57EE0A87"/>
    <w:rsid w:val="583773EE"/>
    <w:rsid w:val="58FA7A57"/>
    <w:rsid w:val="591A7C0F"/>
    <w:rsid w:val="5ACA30F8"/>
    <w:rsid w:val="5AD7341B"/>
    <w:rsid w:val="5B4471AA"/>
    <w:rsid w:val="5B625EC1"/>
    <w:rsid w:val="5BED2E50"/>
    <w:rsid w:val="5C4F4241"/>
    <w:rsid w:val="5CC34A42"/>
    <w:rsid w:val="5CF519DA"/>
    <w:rsid w:val="5D6E5D7B"/>
    <w:rsid w:val="5D8B40D4"/>
    <w:rsid w:val="5DF6313F"/>
    <w:rsid w:val="5E541A14"/>
    <w:rsid w:val="5FEB3DF1"/>
    <w:rsid w:val="60A1694D"/>
    <w:rsid w:val="60B2123D"/>
    <w:rsid w:val="60EE17B6"/>
    <w:rsid w:val="60FF6850"/>
    <w:rsid w:val="612E2E61"/>
    <w:rsid w:val="61880FEB"/>
    <w:rsid w:val="618D05CE"/>
    <w:rsid w:val="63243021"/>
    <w:rsid w:val="63244996"/>
    <w:rsid w:val="64815E69"/>
    <w:rsid w:val="64882719"/>
    <w:rsid w:val="653A413B"/>
    <w:rsid w:val="65B354C1"/>
    <w:rsid w:val="661E16EC"/>
    <w:rsid w:val="66B707C5"/>
    <w:rsid w:val="66C76995"/>
    <w:rsid w:val="66DA4EE7"/>
    <w:rsid w:val="678058D7"/>
    <w:rsid w:val="682341F7"/>
    <w:rsid w:val="69443018"/>
    <w:rsid w:val="695375A4"/>
    <w:rsid w:val="69DD4616"/>
    <w:rsid w:val="6A756F3B"/>
    <w:rsid w:val="6BC61023"/>
    <w:rsid w:val="6DB43658"/>
    <w:rsid w:val="6E4A2C41"/>
    <w:rsid w:val="6F03617D"/>
    <w:rsid w:val="6F843906"/>
    <w:rsid w:val="6FCB3BEE"/>
    <w:rsid w:val="70F168D6"/>
    <w:rsid w:val="716D6BC3"/>
    <w:rsid w:val="71A75E13"/>
    <w:rsid w:val="72FF0D20"/>
    <w:rsid w:val="756C46F1"/>
    <w:rsid w:val="75C30245"/>
    <w:rsid w:val="77080446"/>
    <w:rsid w:val="778E4681"/>
    <w:rsid w:val="79743E28"/>
    <w:rsid w:val="79880B95"/>
    <w:rsid w:val="7BC7517F"/>
    <w:rsid w:val="7BE74319"/>
    <w:rsid w:val="7D233605"/>
    <w:rsid w:val="7E0A279A"/>
    <w:rsid w:val="7F383F79"/>
    <w:rsid w:val="7F485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4</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2022-01-15T08:39:14Z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26855577654D4779AED556AE7C30A6C9</vt:lpwstr>
  </property>
</Properties>
</file>