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0030-2020-Q-2022</w:t>
      </w:r>
      <w:bookmarkEnd w:id="0"/>
    </w:p>
    <w:p>
      <w:pPr>
        <w:jc w:val="left"/>
        <w:rPr>
          <w:sz w:val="32"/>
          <w:szCs w:val="32"/>
          <w:u w:val="single"/>
        </w:rPr>
      </w:pP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699770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北京茂华富邦科技发展有限公司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北京茂华富邦科技发展有限公司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北京市海淀区交大东路66号院2号楼12层1548</w:t>
            </w:r>
          </w:p>
        </w:tc>
        <w:tc>
          <w:tcPr>
            <w:tcW w:w="1242" w:type="dxa"/>
            <w:vMerge w:val="restart"/>
            <w:vAlign w:val="center"/>
          </w:tcPr>
          <w:p>
            <w:r>
              <w:rPr>
                <w:rFonts w:hint="eastAsia"/>
              </w:rPr>
              <w:t>邮编</w:t>
            </w:r>
          </w:p>
        </w:tc>
        <w:tc>
          <w:tcPr>
            <w:tcW w:w="1771" w:type="dxa"/>
            <w:vAlign w:val="top"/>
          </w:tcPr>
          <w:p>
            <w:r>
              <w:t>100044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北京市交大东路66号院A囗地下二层201</w:t>
            </w:r>
          </w:p>
        </w:tc>
        <w:tc>
          <w:tcPr>
            <w:tcW w:w="1242" w:type="dxa"/>
            <w:vMerge w:val="continue"/>
            <w:vAlign w:val="center"/>
          </w:tcPr>
          <w:p/>
        </w:tc>
        <w:tc>
          <w:tcPr>
            <w:tcW w:w="1771" w:type="dxa"/>
            <w:vAlign w:val="top"/>
          </w:tcPr>
          <w:p>
            <w:r>
              <w:t>100044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刘宏伟</w:t>
            </w:r>
          </w:p>
        </w:tc>
        <w:tc>
          <w:tcPr>
            <w:tcW w:w="1313" w:type="dxa"/>
            <w:vAlign w:val="center"/>
          </w:tcPr>
          <w:p>
            <w:r>
              <w:rPr>
                <w:rFonts w:hint="eastAsia"/>
              </w:rPr>
              <w:t>电话.</w:t>
            </w:r>
          </w:p>
        </w:tc>
        <w:tc>
          <w:tcPr>
            <w:tcW w:w="2180" w:type="dxa"/>
            <w:vAlign w:val="center"/>
          </w:tcPr>
          <w:p>
            <w:r>
              <w:t>15210128240</w:t>
            </w:r>
          </w:p>
        </w:tc>
        <w:tc>
          <w:tcPr>
            <w:tcW w:w="1242" w:type="dxa"/>
            <w:vAlign w:val="center"/>
          </w:tcPr>
          <w:p>
            <w:r>
              <w:rPr>
                <w:rFonts w:hint="eastAsia"/>
              </w:rPr>
              <w:t>传真</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郭伟</w:t>
            </w:r>
          </w:p>
        </w:tc>
        <w:tc>
          <w:tcPr>
            <w:tcW w:w="1313" w:type="dxa"/>
            <w:vAlign w:val="center"/>
          </w:tcPr>
          <w:p>
            <w:r>
              <w:rPr>
                <w:rFonts w:hint="eastAsia"/>
              </w:rPr>
              <w:t>管理者代表</w:t>
            </w:r>
          </w:p>
        </w:tc>
        <w:tc>
          <w:tcPr>
            <w:tcW w:w="2180" w:type="dxa"/>
            <w:vAlign w:val="top"/>
          </w:tcPr>
          <w:p>
            <w:r>
              <w:t>刘宏伟</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p>
          <w:p>
            <w:r>
              <w:rPr>
                <w:rFonts w:hint="eastAsia"/>
                <w:lang w:val="en-US" w:eastAsia="zh-CN"/>
              </w:rPr>
              <w:t>顾客接触-合同评审-合同签订-顾客付款-入账-采购-顾客提货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2022年01月17日 上午至2022年01月17日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pPr>
              <w:rPr>
                <w:rFonts w:hint="eastAsia"/>
              </w:rPr>
            </w:pPr>
          </w:p>
          <w:p>
            <w:pPr>
              <w:rPr>
                <w:rFonts w:hint="eastAsia"/>
              </w:rPr>
            </w:pPr>
          </w:p>
          <w:p>
            <w:pPr>
              <w:rPr>
                <w:rFonts w:hint="eastAsia"/>
              </w:rPr>
            </w:pPr>
          </w:p>
          <w:p>
            <w:r>
              <w:rPr>
                <w:rFonts w:hint="eastAsia"/>
              </w:rPr>
              <w:t>审核范围</w:t>
            </w:r>
          </w:p>
        </w:tc>
        <w:tc>
          <w:tcPr>
            <w:tcW w:w="5625" w:type="dxa"/>
            <w:gridSpan w:val="3"/>
            <w:vMerge w:val="restart"/>
            <w:vAlign w:val="center"/>
          </w:tcPr>
          <w:p/>
          <w:p/>
          <w:p/>
          <w:p>
            <w:r>
              <w:t>五金交电、机械设备、通讯设备、仪器仪表、计算机、软件及辅助设备的销售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lang w:val="en-US" w:eastAsia="zh-CN"/>
              </w:rPr>
            </w:pPr>
            <w:r>
              <w:rPr>
                <w:rFonts w:hint="eastAsia"/>
                <w:lang w:val="en-US" w:eastAsia="zh-CN"/>
              </w:rPr>
              <w:t>体系文件实施时间</w:t>
            </w:r>
          </w:p>
        </w:tc>
        <w:tc>
          <w:tcPr>
            <w:tcW w:w="2733" w:type="dxa"/>
          </w:tcPr>
          <w:p>
            <w:pPr>
              <w:rPr>
                <w:rFonts w:hint="eastAsia"/>
                <w:lang w:val="en-US" w:eastAsia="zh-CN"/>
              </w:rPr>
            </w:pPr>
            <w:r>
              <w:rPr>
                <w:rFonts w:hint="eastAsia"/>
                <w:lang w:val="en-US" w:eastAsia="zh-CN"/>
              </w:rPr>
              <w:t xml:space="preserve"> 2019年8月23日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lang w:val="en-US" w:eastAsia="zh-CN"/>
              </w:rPr>
              <w:t>2021-03-01 -- 2021-03-01</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年</w:t>
            </w:r>
            <w:r>
              <w:rPr>
                <w:rFonts w:hint="eastAsia"/>
                <w:lang w:val="en-US" w:eastAsia="zh-CN"/>
              </w:rPr>
              <w:t>3</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北京茂华富邦科技发展有限公司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北京市海淀区交大东路66号院2号楼12层1548</w:t>
            </w:r>
          </w:p>
        </w:tc>
        <w:tc>
          <w:tcPr>
            <w:tcW w:w="2267" w:type="dxa"/>
          </w:tcPr>
          <w:p>
            <w:pPr>
              <w:rPr>
                <w:rFonts w:hint="eastAsia" w:eastAsia="宋体"/>
                <w:lang w:val="en-US" w:eastAsia="zh-CN"/>
              </w:rPr>
            </w:pPr>
            <w:bookmarkStart w:id="20" w:name="生产地址"/>
            <w:r>
              <w:rPr>
                <w:rFonts w:ascii="宋体" w:hAnsi="宋体" w:cs="宋体"/>
                <w:color w:val="000000"/>
                <w:kern w:val="0"/>
                <w:szCs w:val="21"/>
              </w:rPr>
              <w:t>北京市交大东路66号院A囗地下二层201</w:t>
            </w:r>
            <w:bookmarkEnd w:id="20"/>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bookmarkStart w:id="21" w:name="审核范围"/>
            <w:r>
              <w:rPr>
                <w:rFonts w:ascii="宋体" w:hAnsi="宋体" w:cs="宋体"/>
                <w:color w:val="000000"/>
                <w:kern w:val="0"/>
                <w:szCs w:val="21"/>
              </w:rPr>
              <w:t>五金交电、机械设备、通讯设备、仪器仪表、计算机、软件及辅助设备的销售</w:t>
            </w:r>
            <w:bookmarkEnd w:id="21"/>
          </w:p>
        </w:tc>
        <w:tc>
          <w:tcPr>
            <w:tcW w:w="669" w:type="dxa"/>
            <w:vAlign w:val="center"/>
          </w:tcPr>
          <w:p>
            <w:pPr>
              <w:rPr>
                <w:lang w:eastAsia="ja-JP"/>
              </w:rPr>
            </w:pPr>
            <w:bookmarkStart w:id="22" w:name="审核依据"/>
            <w:r>
              <w:rPr>
                <w:rFonts w:hint="eastAsia" w:ascii="宋体" w:hAnsi="宋体"/>
                <w:snapToGrid w:val="0"/>
                <w:color w:val="000000"/>
                <w:kern w:val="0"/>
                <w:sz w:val="18"/>
                <w:szCs w:val="21"/>
              </w:rPr>
              <w:t>GB/T19001-2016/ISO9001:2015</w:t>
            </w:r>
            <w:bookmarkEnd w:id="22"/>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w:t>
            </w:r>
            <w:r>
              <w:rPr>
                <w:rFonts w:hint="eastAsia" w:ascii="宋体"/>
                <w:b/>
                <w:color w:val="auto"/>
                <w:szCs w:val="21"/>
                <w:lang w:val="en-US" w:eastAsia="zh-CN"/>
              </w:rPr>
              <w:t>2</w:t>
            </w:r>
            <w:r>
              <w:rPr>
                <w:rFonts w:hint="eastAsia" w:ascii="宋体"/>
                <w:b/>
                <w:color w:val="auto"/>
                <w:szCs w:val="21"/>
              </w:rPr>
              <w:t>年</w:t>
            </w:r>
            <w:r>
              <w:rPr>
                <w:rFonts w:hint="eastAsia" w:ascii="宋体"/>
                <w:b/>
                <w:color w:val="auto"/>
                <w:szCs w:val="21"/>
                <w:lang w:val="en-US" w:eastAsia="zh-CN"/>
              </w:rPr>
              <w:t>1</w:t>
            </w:r>
            <w:r>
              <w:rPr>
                <w:rFonts w:hint="eastAsia" w:ascii="宋体"/>
                <w:b/>
                <w:color w:val="auto"/>
                <w:szCs w:val="21"/>
              </w:rPr>
              <w:t>月</w:t>
            </w:r>
            <w:r>
              <w:rPr>
                <w:rFonts w:hint="eastAsia" w:ascii="宋体"/>
                <w:b/>
                <w:color w:val="auto"/>
                <w:szCs w:val="21"/>
                <w:lang w:val="en-US" w:eastAsia="zh-CN"/>
              </w:rPr>
              <w:t>17</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t xml:space="preserve">■价值观  ■文化  ■知识 ■绩效 ■工艺 ■设备 ■人员能力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color w:val="auto"/>
                    </w:rPr>
                  </w:pP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color w:val="auto"/>
                    </w:rPr>
                  </w:pP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w:t>
            </w:r>
            <w:r>
              <w:rPr>
                <w:rFonts w:ascii="宋体" w:hAnsi="宋体" w:cs="宋体"/>
                <w:color w:val="auto"/>
                <w:kern w:val="0"/>
                <w:szCs w:val="21"/>
              </w:rPr>
              <w:t>应用软件开发及维护服务；智能电网技术咨询</w:t>
            </w:r>
          </w:p>
          <w:p>
            <w:pPr>
              <w:shd w:val="clear" w:color="auto" w:fill="C7DAF1" w:themeFill="text2" w:themeFillTint="32"/>
              <w:rPr>
                <w:color w:val="auto"/>
              </w:rPr>
            </w:pPr>
            <w:r>
              <w:rPr>
                <w:rFonts w:hint="eastAsia"/>
                <w:color w:val="auto"/>
              </w:rPr>
              <w:t>对QMS的适用性（详见第一条款不适用条款和理由说明）：</w:t>
            </w:r>
            <w:r>
              <w:rPr>
                <w:rFonts w:hint="eastAsia"/>
                <w:color w:val="auto"/>
                <w:lang w:val="en-US" w:eastAsia="zh-CN"/>
              </w:rPr>
              <w:t xml:space="preserve">8.3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 xml:space="preserve">■市场拓展 □设备能力 ■人员能力 □检测水平□合同评审 □知识保密 </w:t>
            </w:r>
          </w:p>
          <w:p>
            <w:pPr>
              <w:shd w:val="clear" w:color="auto" w:fill="C7DAF1" w:themeFill="text2" w:themeFillTint="32"/>
              <w:spacing w:before="40" w:after="40"/>
              <w:rPr>
                <w:color w:val="auto"/>
              </w:rPr>
            </w:pPr>
            <w:r>
              <w:rPr>
                <w:rFonts w:hint="eastAsia"/>
                <w:color w:val="auto"/>
              </w:rPr>
              <w:t>■新产品设计开发 ■原材料采购 ■外部供方控制 □生产/服务控制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rPr>
                <w:rFonts w:hint="eastAsia"/>
                <w:color w:val="auto"/>
              </w:rPr>
            </w:pPr>
            <w:r>
              <w:rPr>
                <w:rFonts w:hint="eastAsia"/>
                <w:color w:val="auto"/>
              </w:rPr>
              <w:t>科学管理，诚信服务，确保顾客满意；</w:t>
            </w:r>
          </w:p>
          <w:p>
            <w:pPr>
              <w:rPr>
                <w:rFonts w:hint="eastAsia"/>
                <w:color w:val="auto"/>
              </w:rPr>
            </w:pPr>
            <w:r>
              <w:rPr>
                <w:rFonts w:hint="eastAsia"/>
                <w:color w:val="auto"/>
              </w:rPr>
              <w:t>以人为本，持续改进，促进公司发展。</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color w:val="auto"/>
              </w:rPr>
              <w:t>综合部</w:t>
            </w:r>
            <w:r>
              <w:rPr>
                <w:rFonts w:hint="eastAsia"/>
                <w:color w:val="auto"/>
              </w:rPr>
              <w:t>、</w:t>
            </w:r>
            <w:r>
              <w:rPr>
                <w:rFonts w:hint="eastAsia"/>
                <w:color w:val="auto"/>
                <w:lang w:val="en-US" w:eastAsia="zh-CN"/>
              </w:rPr>
              <w:t>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内部管理风险</w:t>
                  </w:r>
                </w:p>
              </w:tc>
              <w:tc>
                <w:tcPr>
                  <w:tcW w:w="3965" w:type="dxa"/>
                </w:tcPr>
                <w:p>
                  <w:pPr>
                    <w:shd w:val="clear" w:color="auto" w:fill="C7DAF1" w:themeFill="text2" w:themeFillTint="32"/>
                    <w:rPr>
                      <w:color w:val="auto"/>
                    </w:rPr>
                  </w:pPr>
                  <w:r>
                    <w:rPr>
                      <w:rFonts w:hint="eastAsia" w:asciiTheme="minorEastAsia" w:hAnsiTheme="minorEastAsia" w:eastAsiaTheme="minorEastAsia"/>
                      <w:color w:val="auto"/>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内部人员管理风险</w:t>
                  </w:r>
                </w:p>
              </w:tc>
              <w:tc>
                <w:tcPr>
                  <w:tcW w:w="3965" w:type="dxa"/>
                </w:tcPr>
                <w:p>
                  <w:pPr>
                    <w:shd w:val="clear" w:color="auto" w:fill="C7DAF1" w:themeFill="text2" w:themeFillTint="32"/>
                    <w:rPr>
                      <w:color w:val="auto"/>
                    </w:rPr>
                  </w:pPr>
                  <w:r>
                    <w:rPr>
                      <w:rFonts w:hint="eastAsia"/>
                      <w:color w:val="auto"/>
                    </w:rPr>
                    <w:t>人员招聘和培训</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内部信息化文件管理风险</w:t>
                  </w:r>
                </w:p>
              </w:tc>
              <w:tc>
                <w:tcPr>
                  <w:tcW w:w="3965" w:type="dxa"/>
                </w:tcPr>
                <w:p>
                  <w:pPr>
                    <w:shd w:val="clear" w:color="auto" w:fill="C7DAF1" w:themeFill="text2" w:themeFillTint="32"/>
                    <w:rPr>
                      <w:color w:val="auto"/>
                    </w:rPr>
                  </w:pPr>
                  <w:r>
                    <w:rPr>
                      <w:rFonts w:hint="eastAsia"/>
                      <w:color w:val="auto"/>
                    </w:rPr>
                    <w:t>失效文件及时回收销毁</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外部顾客监视和测量风险</w:t>
                  </w:r>
                </w:p>
              </w:tc>
              <w:tc>
                <w:tcPr>
                  <w:tcW w:w="3965" w:type="dxa"/>
                </w:tcPr>
                <w:p>
                  <w:pPr>
                    <w:shd w:val="clear" w:color="auto" w:fill="C7DAF1" w:themeFill="text2" w:themeFillTint="32"/>
                    <w:rPr>
                      <w:color w:val="auto"/>
                    </w:rPr>
                  </w:pPr>
                  <w:r>
                    <w:rPr>
                      <w:rFonts w:hint="eastAsia"/>
                      <w:color w:val="auto"/>
                    </w:rPr>
                    <w:t>对所接到的客户投诉登记汇总，安排专人负责处理并及时回复客户，确保产品质量和交期，与客户保持积极沟通，以确保客户的满意</w:t>
                  </w:r>
                </w:p>
              </w:tc>
              <w:tc>
                <w:tcPr>
                  <w:tcW w:w="1717" w:type="dxa"/>
                </w:tcPr>
                <w:p>
                  <w:pPr>
                    <w:rPr>
                      <w:color w:val="auto"/>
                    </w:rPr>
                  </w:pPr>
                  <w:r>
                    <w:rPr>
                      <w:color w:val="auto"/>
                    </w:rPr>
                    <w:t>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asciiTheme="minorEastAsia" w:hAnsiTheme="minorEastAsia" w:eastAsiaTheme="minorEastAsia"/>
                      <w:color w:val="auto"/>
                      <w:szCs w:val="21"/>
                    </w:rPr>
                    <w:t>销售产品合格率98%；</w:t>
                  </w:r>
                </w:p>
              </w:tc>
              <w:tc>
                <w:tcPr>
                  <w:tcW w:w="3136" w:type="dxa"/>
                  <w:shd w:val="clear" w:color="auto" w:fill="auto"/>
                  <w:vAlign w:val="center"/>
                </w:tcPr>
                <w:p>
                  <w:pPr>
                    <w:shd w:val="clear" w:color="auto" w:fill="C7DAF1" w:themeFill="text2" w:themeFillTint="32"/>
                    <w:rPr>
                      <w:color w:val="auto"/>
                      <w:lang w:val="en-GB"/>
                    </w:rPr>
                  </w:pPr>
                  <w:r>
                    <w:rPr>
                      <w:rFonts w:hint="eastAsia" w:asciiTheme="minorEastAsia" w:hAnsiTheme="minorEastAsia" w:eastAsiaTheme="minorEastAsia"/>
                      <w:color w:val="auto"/>
                      <w:szCs w:val="21"/>
                      <w:lang w:val="en-US" w:eastAsia="zh-CN"/>
                    </w:rPr>
                    <w:t>销售</w:t>
                  </w:r>
                  <w:r>
                    <w:rPr>
                      <w:rFonts w:hint="eastAsia" w:asciiTheme="minorEastAsia" w:hAnsiTheme="minorEastAsia" w:eastAsiaTheme="minorEastAsia"/>
                      <w:color w:val="auto"/>
                      <w:szCs w:val="21"/>
                    </w:rPr>
                    <w:t>合格数/总数*100%</w:t>
                  </w:r>
                </w:p>
              </w:tc>
              <w:tc>
                <w:tcPr>
                  <w:tcW w:w="1350" w:type="dxa"/>
                  <w:shd w:val="clear" w:color="auto" w:fill="auto"/>
                  <w:vAlign w:val="center"/>
                </w:tcPr>
                <w:p>
                  <w:pPr>
                    <w:shd w:val="clear" w:color="auto" w:fill="C7DAF1" w:themeFill="text2" w:themeFillTint="32"/>
                    <w:rPr>
                      <w:rFonts w:hint="default"/>
                      <w:color w:val="auto"/>
                      <w:lang w:val="en-US"/>
                    </w:rPr>
                  </w:pPr>
                  <w:r>
                    <w:rPr>
                      <w:rFonts w:hint="eastAsia"/>
                      <w:color w:val="auto"/>
                      <w:lang w:val="en-US" w:eastAsia="zh-CN"/>
                    </w:rPr>
                    <w:t>销售部</w:t>
                  </w:r>
                </w:p>
              </w:tc>
              <w:tc>
                <w:tcPr>
                  <w:tcW w:w="1774" w:type="dxa"/>
                  <w:shd w:val="clear" w:color="auto" w:fill="auto"/>
                  <w:vAlign w:val="center"/>
                </w:tcPr>
                <w:p>
                  <w:pPr>
                    <w:shd w:val="clear" w:color="auto" w:fill="C7DAF1" w:themeFill="text2" w:themeFillTint="32"/>
                    <w:jc w:val="both"/>
                    <w:rPr>
                      <w:rFonts w:ascii="宋体" w:hAnsi="宋体"/>
                      <w:color w:val="auto"/>
                      <w:lang w:val="en-GB"/>
                    </w:rPr>
                  </w:pPr>
                  <w:r>
                    <w:rPr>
                      <w:rFonts w:hint="eastAsia" w:ascii="宋体" w:hAnsi="宋体"/>
                      <w:color w:val="auto"/>
                      <w:lang w:val="en-US" w:eastAsia="zh-CN"/>
                    </w:rPr>
                    <w:t>100</w:t>
                  </w:r>
                  <w:r>
                    <w:rPr>
                      <w:rFonts w:hint="eastAsia" w:ascii="宋体" w:hAnsi="宋体"/>
                      <w:color w:val="auto"/>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顾客满意率≥9</w:t>
                  </w:r>
                  <w:r>
                    <w:rPr>
                      <w:rFonts w:hint="eastAsia" w:asciiTheme="minorEastAsia" w:hAnsiTheme="minorEastAsia" w:eastAsiaTheme="minorEastAsia"/>
                      <w:color w:val="auto"/>
                      <w:szCs w:val="21"/>
                      <w:lang w:val="en-US" w:eastAsia="zh-CN"/>
                    </w:rPr>
                    <w:t>6%</w:t>
                  </w:r>
                </w:p>
              </w:tc>
              <w:tc>
                <w:tcPr>
                  <w:tcW w:w="3136"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满意度调查分数/总分数*100%</w:t>
                  </w:r>
                </w:p>
              </w:tc>
              <w:tc>
                <w:tcPr>
                  <w:tcW w:w="1350"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销售部</w:t>
                  </w:r>
                </w:p>
              </w:tc>
              <w:tc>
                <w:tcPr>
                  <w:tcW w:w="1774"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GB"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合同评审率100%</w:t>
                  </w:r>
                </w:p>
              </w:tc>
              <w:tc>
                <w:tcPr>
                  <w:tcW w:w="3136" w:type="dxa"/>
                  <w:shd w:val="clear" w:color="auto" w:fill="auto"/>
                  <w:vAlign w:val="center"/>
                </w:tcPr>
                <w:p>
                  <w:pPr>
                    <w:shd w:val="clear" w:color="auto" w:fill="C7DAF1" w:themeFill="text2" w:themeFillTint="32"/>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合同评审的数量/总数</w:t>
                  </w:r>
                  <w:r>
                    <w:rPr>
                      <w:rFonts w:hint="eastAsia" w:asciiTheme="minorEastAsia" w:hAnsiTheme="minorEastAsia" w:eastAsiaTheme="minorEastAsia"/>
                      <w:color w:val="auto"/>
                      <w:szCs w:val="21"/>
                      <w:lang w:val="en-US" w:eastAsia="zh-CN"/>
                    </w:rPr>
                    <w:t>量*100%</w:t>
                  </w:r>
                </w:p>
              </w:tc>
              <w:tc>
                <w:tcPr>
                  <w:tcW w:w="1350"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销售部</w:t>
                  </w:r>
                </w:p>
              </w:tc>
              <w:tc>
                <w:tcPr>
                  <w:tcW w:w="1774"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100</w:t>
                  </w:r>
                  <w:r>
                    <w:rPr>
                      <w:rFonts w:hint="eastAsia" w:asciiTheme="minorEastAsia" w:hAnsiTheme="minorEastAsia" w:eastAsiaTheme="minorEastAsia"/>
                      <w:color w:val="auto"/>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产品交付及时率98%；</w:t>
                  </w:r>
                </w:p>
              </w:tc>
              <w:tc>
                <w:tcPr>
                  <w:tcW w:w="3136"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交付及时合格数/总数*100%</w:t>
                  </w:r>
                </w:p>
              </w:tc>
              <w:tc>
                <w:tcPr>
                  <w:tcW w:w="1350" w:type="dxa"/>
                  <w:shd w:val="clear" w:color="auto" w:fill="auto"/>
                  <w:vAlign w:val="center"/>
                </w:tcPr>
                <w:p>
                  <w:pPr>
                    <w:shd w:val="clear" w:color="auto" w:fill="C7DAF1" w:themeFill="text2" w:themeFillTint="32"/>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lang w:val="en-US" w:eastAsia="zh-CN"/>
                    </w:rPr>
                    <w:t>销售部</w:t>
                  </w:r>
                </w:p>
              </w:tc>
              <w:tc>
                <w:tcPr>
                  <w:tcW w:w="1774" w:type="dxa"/>
                  <w:shd w:val="clear" w:color="auto" w:fill="auto"/>
                  <w:vAlign w:val="center"/>
                </w:tcPr>
                <w:p>
                  <w:pPr>
                    <w:shd w:val="clear" w:color="auto" w:fill="C7DAF1" w:themeFill="text2" w:themeFillTint="32"/>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lang w:val="en-US" w:eastAsia="zh-CN"/>
                    </w:rPr>
                    <w:t>100</w:t>
                  </w:r>
                  <w:r>
                    <w:rPr>
                      <w:rFonts w:hint="eastAsia" w:asciiTheme="minorEastAsia" w:hAnsiTheme="minorEastAsia" w:eastAsiaTheme="minorEastAsia"/>
                      <w:color w:val="auto"/>
                      <w:szCs w:val="21"/>
                      <w:lang w:val="en-GB" w:eastAsia="zh-CN"/>
                    </w:rPr>
                    <w:t>%</w:t>
                  </w:r>
                </w:p>
              </w:tc>
            </w:tr>
          </w:tbl>
          <w:p>
            <w:pPr>
              <w:shd w:val="clear" w:color="auto" w:fill="C7DAF1" w:themeFill="text2" w:themeFillTint="32"/>
              <w:rPr>
                <w:color w:val="auto"/>
              </w:rPr>
            </w:pPr>
            <w:r>
              <w:rPr>
                <w:rFonts w:hint="eastAsia"/>
                <w:color w:val="auto"/>
              </w:rPr>
              <w:t>■目标已实现</w:t>
            </w:r>
          </w:p>
          <w:p>
            <w:pPr>
              <w:shd w:val="clear" w:color="auto" w:fill="C7DAF1" w:themeFill="text2" w:themeFillTint="32"/>
              <w:rPr>
                <w:color w:val="auto"/>
              </w:rPr>
            </w:pPr>
            <w:r>
              <w:rPr>
                <w:rFonts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100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0 </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lang w:val="en-US" w:eastAsia="zh-CN"/>
              </w:rPr>
              <w:t>电脑、电话、打印机</w:t>
            </w:r>
            <w:r>
              <w:rPr>
                <w:rFonts w:hint="eastAsia"/>
                <w:color w:val="auto"/>
                <w:u w:val="single"/>
              </w:rPr>
              <w:t>等</w:t>
            </w:r>
          </w:p>
          <w:p>
            <w:pPr>
              <w:shd w:val="clear" w:color="auto" w:fill="C7DAF1" w:themeFill="text2" w:themeFillTint="32"/>
              <w:rPr>
                <w:color w:val="auto"/>
              </w:rPr>
            </w:pPr>
            <w:r>
              <w:rPr>
                <w:rFonts w:hint="eastAsia"/>
                <w:color w:val="auto"/>
              </w:rPr>
              <w:t>特种设备：</w:t>
            </w:r>
            <w:r>
              <w:rPr>
                <w:rFonts w:ascii="Wingdings" w:hAnsi="Wingdings"/>
                <w:color w:val="auto"/>
              </w:rPr>
              <w:sym w:font="Wingdings" w:char="00A8"/>
            </w:r>
            <w:r>
              <w:rPr>
                <w:rFonts w:hint="eastAsia"/>
                <w:color w:val="auto"/>
              </w:rPr>
              <w:t xml:space="preserve">叉车 </w:t>
            </w:r>
            <w:r>
              <w:rPr>
                <w:rFonts w:ascii="Wingdings" w:hAnsi="Wingdings"/>
                <w:color w:val="auto"/>
              </w:rPr>
              <w:t></w:t>
            </w:r>
            <w:r>
              <w:rPr>
                <w:rFonts w:hint="eastAsia"/>
                <w:color w:val="auto"/>
              </w:rPr>
              <w:t xml:space="preserve">行车 </w:t>
            </w:r>
            <w:r>
              <w:rPr>
                <w:rFonts w:ascii="Wingdings" w:hAnsi="Wingdings"/>
                <w:color w:val="auto"/>
              </w:rPr>
              <w:t></w:t>
            </w:r>
            <w:r>
              <w:rPr>
                <w:rFonts w:hint="eastAsia"/>
                <w:color w:val="auto"/>
              </w:rPr>
              <w:t xml:space="preserve">锅炉 </w:t>
            </w:r>
            <w:r>
              <w:rPr>
                <w:rFonts w:ascii="Wingdings" w:hAnsi="Wingdings"/>
                <w:color w:val="auto"/>
              </w:rPr>
              <w:t></w:t>
            </w:r>
            <w:r>
              <w:rPr>
                <w:rFonts w:hint="eastAsia"/>
                <w:color w:val="auto"/>
              </w:rPr>
              <w:t xml:space="preserve">电梯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压力管道    </w:t>
            </w:r>
          </w:p>
          <w:p>
            <w:pPr>
              <w:shd w:val="clear" w:color="auto" w:fill="C7DAF1" w:themeFill="text2" w:themeFillTint="32"/>
              <w:rPr>
                <w:color w:val="auto"/>
                <w:u w:val="single"/>
              </w:rPr>
            </w:pPr>
            <w:r>
              <w:rPr>
                <w:rFonts w:hint="eastAsia"/>
                <w:color w:val="auto"/>
              </w:rPr>
              <w:t>特种设备管理：</w:t>
            </w:r>
            <w:r>
              <w:rPr>
                <w:rFonts w:ascii="Wingdings" w:hAnsi="Wingdings"/>
                <w:color w:val="auto"/>
              </w:rPr>
              <w:sym w:font="Wingdings" w:char="00A8"/>
            </w:r>
            <w:r>
              <w:rPr>
                <w:rFonts w:hint="eastAsia"/>
                <w:color w:val="auto"/>
              </w:rPr>
              <w:t xml:space="preserve">进行了定期检验  </w:t>
            </w:r>
            <w:r>
              <w:rPr>
                <w:rFonts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r>
              <w:rPr>
                <w:rFonts w:hint="eastAsia"/>
                <w:color w:val="auto"/>
                <w:u w:val="single"/>
              </w:rPr>
              <w:t xml:space="preserve">           </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color w:val="auto"/>
                <w:lang w:eastAsia="zh-CN"/>
              </w:rPr>
              <w:t>□</w:t>
            </w:r>
            <w:r>
              <w:rPr>
                <w:rFonts w:hint="eastAsia"/>
                <w:color w:val="auto"/>
              </w:rPr>
              <w:t xml:space="preserve">计量器具   </w:t>
            </w:r>
            <w:r>
              <w:rPr>
                <w:rFonts w:hint="eastAsia"/>
                <w:color w:val="auto"/>
              </w:rPr>
              <w:sym w:font="Wingdings" w:char="00FE"/>
            </w:r>
            <w:r>
              <w:rPr>
                <w:rFonts w:hint="eastAsia"/>
                <w:color w:val="auto"/>
              </w:rPr>
              <w:t xml:space="preserve">服务流程检查表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ascii="Wingdings" w:hAnsi="Wingdings"/>
                <w:color w:val="auto"/>
              </w:rPr>
              <w:t></w:t>
            </w:r>
            <w:r>
              <w:rPr>
                <w:rFonts w:hint="eastAsia"/>
                <w:color w:val="auto"/>
              </w:rPr>
              <w:t xml:space="preserve">自校   </w:t>
            </w:r>
            <w:r>
              <w:rPr>
                <w:rFonts w:ascii="Wingdings" w:hAnsi="Wingdings"/>
                <w:color w:val="auto"/>
              </w:rPr>
              <w:sym w:font="Wingdings" w:char="00A8"/>
            </w:r>
            <w:r>
              <w:rPr>
                <w:rFonts w:hint="eastAsia"/>
                <w:color w:val="auto"/>
              </w:rPr>
              <w:t xml:space="preserve">外校  </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 xml:space="preserve">                      （列举1~4种）</w:t>
            </w:r>
          </w:p>
          <w:p>
            <w:pPr>
              <w:shd w:val="clear" w:color="auto" w:fill="C7DAF1" w:themeFill="text2" w:themeFillTint="32"/>
              <w:rPr>
                <w:color w:val="auto"/>
                <w:u w:val="single"/>
              </w:rPr>
            </w:pPr>
            <w:r>
              <w:rPr>
                <w:rFonts w:hint="eastAsia"/>
                <w:color w:val="auto"/>
              </w:rPr>
              <w:t>计量器具管理：</w:t>
            </w:r>
            <w:r>
              <w:rPr>
                <w:rFonts w:ascii="Wingdings" w:hAnsi="Wingdings"/>
                <w:color w:val="auto"/>
              </w:rPr>
              <w:sym w:font="Wingdings" w:char="00A8"/>
            </w:r>
            <w:r>
              <w:rPr>
                <w:rFonts w:hint="eastAsia"/>
                <w:color w:val="auto"/>
              </w:rPr>
              <w:t xml:space="preserve">进行了定期校准/检定  </w:t>
            </w:r>
            <w:r>
              <w:rPr>
                <w:rFonts w:ascii="Wingdings" w:hAnsi="Wingdings"/>
                <w:color w:val="auto"/>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ascii="Wingdings" w:hAnsi="Wingdings"/>
                <w:color w:val="auto"/>
              </w:rPr>
              <w:t></w:t>
            </w:r>
            <w:r>
              <w:rPr>
                <w:rFonts w:hint="eastAsia"/>
                <w:color w:val="auto"/>
              </w:rPr>
              <w:t xml:space="preserve">加工工艺 </w:t>
            </w:r>
            <w:r>
              <w:rPr>
                <w:rFonts w:ascii="Wingdings" w:hAnsi="Wingdings"/>
                <w:color w:val="auto"/>
              </w:rPr>
              <w:t></w:t>
            </w:r>
            <w:r>
              <w:rPr>
                <w:rFonts w:hint="eastAsia"/>
                <w:color w:val="auto"/>
              </w:rPr>
              <w:t xml:space="preserve">生产经验  </w:t>
            </w:r>
            <w:r>
              <w:rPr>
                <w:rFonts w:ascii="Wingdings" w:hAnsi="Wingdings"/>
                <w:color w:val="auto"/>
              </w:rPr>
              <w:t></w:t>
            </w:r>
            <w:r>
              <w:rPr>
                <w:rFonts w:hint="eastAsia"/>
                <w:color w:val="auto"/>
              </w:rPr>
              <w:t xml:space="preserve">管理软件  ■市场预测   </w:t>
            </w:r>
            <w:r>
              <w:rPr>
                <w:rFonts w:ascii="Wingdings" w:hAnsi="Wingdings"/>
                <w:color w:val="auto"/>
              </w:rPr>
              <w:t></w:t>
            </w:r>
            <w:r>
              <w:rPr>
                <w:rFonts w:hint="eastAsia"/>
                <w:color w:val="auto"/>
              </w:rPr>
              <w:t>企业标准  ■其他</w:t>
            </w:r>
          </w:p>
          <w:p>
            <w:pPr>
              <w:shd w:val="clear" w:color="auto" w:fill="C7DAF1" w:themeFill="text2" w:themeFillTint="32"/>
              <w:rPr>
                <w:color w:val="auto"/>
              </w:rPr>
            </w:pPr>
            <w:r>
              <w:rPr>
                <w:rFonts w:hint="eastAsia"/>
                <w:color w:val="auto"/>
              </w:rPr>
              <w:t xml:space="preserve">外部知识: ■顾客提供资料 ■产品标准  ■学术交流信息  ■专业会议信息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■招聘 </w:t>
            </w:r>
            <w:r>
              <w:rPr>
                <w:rFonts w:ascii="Wingdings" w:hAnsi="Wingdings"/>
                <w:color w:val="auto"/>
              </w:rPr>
              <w:t></w:t>
            </w:r>
            <w:r>
              <w:rPr>
                <w:rFonts w:hint="eastAsia"/>
                <w:color w:val="auto"/>
              </w:rPr>
              <w:t xml:space="preserve">换岗  ■培训  ■考核   </w:t>
            </w:r>
            <w:r>
              <w:rPr>
                <w:rFonts w:ascii="Wingdings" w:hAnsi="Wingdings"/>
                <w:color w:val="auto"/>
              </w:rPr>
              <w:t></w:t>
            </w:r>
            <w:r>
              <w:rPr>
                <w:rFonts w:hint="eastAsia"/>
                <w:color w:val="auto"/>
              </w:rPr>
              <w:t xml:space="preserve">辅导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ascii="Wingdings" w:hAnsi="Wingdings"/>
                <w:color w:val="auto"/>
              </w:rPr>
              <w:t></w:t>
            </w:r>
            <w:r>
              <w:rPr>
                <w:rFonts w:hint="eastAsia"/>
                <w:color w:val="auto"/>
              </w:rPr>
              <w:t xml:space="preserve">电工 </w:t>
            </w:r>
            <w:r>
              <w:rPr>
                <w:rFonts w:ascii="Wingdings" w:hAnsi="Wingdings"/>
                <w:color w:val="auto"/>
              </w:rPr>
              <w:t></w:t>
            </w:r>
            <w:r>
              <w:rPr>
                <w:rFonts w:hint="eastAsia"/>
                <w:color w:val="auto"/>
              </w:rPr>
              <w:t xml:space="preserve">焊工  </w:t>
            </w:r>
            <w:r>
              <w:rPr>
                <w:rFonts w:ascii="Wingdings" w:hAnsi="Wingdings"/>
                <w:color w:val="auto"/>
              </w:rPr>
              <w:t></w:t>
            </w:r>
            <w:r>
              <w:rPr>
                <w:rFonts w:hint="eastAsia"/>
                <w:color w:val="auto"/>
              </w:rPr>
              <w:t xml:space="preserve">危化品作业  </w:t>
            </w:r>
            <w:r>
              <w:rPr>
                <w:rFonts w:ascii="Wingdings" w:hAnsi="Wingdings"/>
                <w:color w:val="auto"/>
              </w:rPr>
              <w:t></w:t>
            </w:r>
            <w:r>
              <w:rPr>
                <w:rFonts w:hint="eastAsia"/>
                <w:color w:val="auto"/>
              </w:rPr>
              <w:t xml:space="preserve">制冷工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ascii="Wingdings" w:hAnsi="Wingdings"/>
                <w:color w:val="auto"/>
              </w:rPr>
              <w:sym w:font="Wingdings" w:char="00A8"/>
            </w:r>
            <w:r>
              <w:rPr>
                <w:rFonts w:hint="eastAsia"/>
                <w:color w:val="auto"/>
              </w:rPr>
              <w:t xml:space="preserve">叉车工 </w:t>
            </w:r>
            <w:r>
              <w:rPr>
                <w:rFonts w:ascii="Wingdings" w:hAnsi="Wingdings"/>
                <w:color w:val="auto"/>
              </w:rPr>
              <w:t></w:t>
            </w:r>
            <w:r>
              <w:rPr>
                <w:rFonts w:hint="eastAsia"/>
                <w:color w:val="auto"/>
              </w:rPr>
              <w:t xml:space="preserve">行车工  </w:t>
            </w:r>
            <w:r>
              <w:rPr>
                <w:rFonts w:ascii="Wingdings" w:hAnsi="Wingdings"/>
                <w:color w:val="auto"/>
              </w:rPr>
              <w:t></w:t>
            </w:r>
            <w:r>
              <w:rPr>
                <w:rFonts w:hint="eastAsia"/>
                <w:color w:val="auto"/>
              </w:rPr>
              <w:t xml:space="preserve">锅炉工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 xml:space="preserve">通过■会议传达 </w:t>
            </w:r>
            <w:r>
              <w:rPr>
                <w:rFonts w:ascii="Wingdings" w:hAnsi="Wingdings"/>
                <w:color w:val="auto"/>
              </w:rPr>
              <w:t></w:t>
            </w:r>
            <w:r>
              <w:rPr>
                <w:rFonts w:hint="eastAsia"/>
                <w:color w:val="auto"/>
              </w:rPr>
              <w:t xml:space="preserve">标语  ■培训  </w:t>
            </w:r>
            <w:r>
              <w:rPr>
                <w:rFonts w:ascii="Wingdings" w:hAnsi="Wingdings"/>
                <w:color w:val="auto"/>
              </w:rPr>
              <w:t></w:t>
            </w:r>
            <w:r>
              <w:rPr>
                <w:rFonts w:hint="eastAsia"/>
                <w:color w:val="auto"/>
              </w:rPr>
              <w:t xml:space="preserve">看板   </w:t>
            </w:r>
            <w:r>
              <w:rPr>
                <w:rFonts w:ascii="Wingdings" w:hAnsi="Wingdings"/>
                <w:color w:val="auto"/>
              </w:rPr>
              <w:t></w:t>
            </w:r>
            <w:r>
              <w:rPr>
                <w:rFonts w:hint="eastAsia"/>
                <w:color w:val="auto"/>
              </w:rPr>
              <w:t xml:space="preserve">局域网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组织已确定与质量管理体系相关的内部和外部沟通。 </w:t>
            </w:r>
          </w:p>
          <w:p>
            <w:pPr>
              <w:shd w:val="clear" w:color="auto" w:fill="C7DAF1" w:themeFill="text2" w:themeFillTint="32"/>
              <w:rPr>
                <w:color w:val="auto"/>
              </w:rPr>
            </w:pPr>
            <w:r>
              <w:rPr>
                <w:rFonts w:hint="eastAsia"/>
                <w:color w:val="auto"/>
              </w:rPr>
              <w:t xml:space="preserve">内部沟通方式：■文件发放 </w:t>
            </w:r>
            <w:r>
              <w:rPr>
                <w:rFonts w:ascii="Wingdings" w:hAnsi="Wingdings"/>
                <w:color w:val="auto"/>
              </w:rPr>
              <w:t></w:t>
            </w:r>
            <w:r>
              <w:rPr>
                <w:rFonts w:hint="eastAsia"/>
                <w:color w:val="auto"/>
              </w:rPr>
              <w:t xml:space="preserve">会议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 xml:space="preserve">外部沟通方式：■宣传材料 ■网站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■体系文件受控 </w:t>
            </w:r>
            <w:r>
              <w:rPr>
                <w:rFonts w:ascii="Wingdings" w:hAnsi="Wingdings"/>
                <w:color w:val="auto"/>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■工艺流程图 ■作业文件  </w:t>
            </w:r>
            <w:r>
              <w:rPr>
                <w:rFonts w:ascii="Wingdings" w:hAnsi="Wingdings"/>
                <w:color w:val="auto"/>
              </w:rPr>
              <w:t></w:t>
            </w:r>
            <w:r>
              <w:rPr>
                <w:rFonts w:hint="eastAsia"/>
                <w:color w:val="auto"/>
              </w:rPr>
              <w:t xml:space="preserve">检测计划   ■接收准则  ■外包控制要求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■外来标准 </w:t>
            </w:r>
            <w:r>
              <w:rPr>
                <w:rFonts w:ascii="Wingdings" w:hAnsi="Wingdings"/>
                <w:color w:val="auto"/>
              </w:rPr>
              <w:t></w:t>
            </w:r>
            <w:r>
              <w:rPr>
                <w:rFonts w:hint="eastAsia"/>
                <w:color w:val="auto"/>
              </w:rPr>
              <w:t xml:space="preserve">企业标准  ■顾客要求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ascii="Wingdings" w:hAnsi="Wingdings"/>
                <w:color w:val="auto"/>
              </w:rPr>
              <w:t></w:t>
            </w:r>
            <w:r>
              <w:rPr>
                <w:rFonts w:hint="eastAsia"/>
                <w:color w:val="auto"/>
              </w:rPr>
              <w:t xml:space="preserve">原材料采购 ■委托加工  </w:t>
            </w:r>
            <w:r>
              <w:rPr>
                <w:rFonts w:ascii="Wingdings" w:hAnsi="Wingdings"/>
                <w:color w:val="auto"/>
              </w:rPr>
              <w:t></w:t>
            </w:r>
            <w:r>
              <w:rPr>
                <w:rFonts w:hint="eastAsia"/>
                <w:color w:val="auto"/>
              </w:rPr>
              <w:t xml:space="preserve">顾客要求 </w:t>
            </w:r>
            <w:r>
              <w:rPr>
                <w:rFonts w:hint="eastAsia"/>
                <w:b/>
                <w:color w:val="auto"/>
              </w:rPr>
              <w:t>■</w:t>
            </w:r>
            <w:r>
              <w:rPr>
                <w:rFonts w:hint="eastAsia"/>
                <w:color w:val="auto"/>
              </w:rPr>
              <w:t>运输  ■其他：报关</w:t>
            </w:r>
          </w:p>
          <w:p>
            <w:pPr>
              <w:shd w:val="clear" w:color="auto" w:fill="C7DAF1" w:themeFill="text2" w:themeFillTint="32"/>
              <w:jc w:val="left"/>
              <w:rPr>
                <w:color w:val="auto"/>
              </w:rPr>
            </w:pPr>
            <w:r>
              <w:rPr>
                <w:rFonts w:hint="eastAsia"/>
                <w:color w:val="auto"/>
              </w:rPr>
              <w:t xml:space="preserve">提供给外部供方的信息■符合要求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 xml:space="preserve">组织的生产和服务提供流程图（见第三条款）， </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ascii="宋体" w:hAnsi="宋体" w:cs="宋体"/>
                      <w:color w:val="000000"/>
                      <w:kern w:val="0"/>
                      <w:szCs w:val="21"/>
                    </w:rPr>
                    <w:t>五金交电、机械设备、通讯设备、仪器仪表、计算机、软件及辅助设备的销售</w:t>
                  </w:r>
                </w:p>
              </w:tc>
              <w:tc>
                <w:tcPr>
                  <w:tcW w:w="36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销售过程</w:t>
                  </w:r>
                </w:p>
              </w:tc>
              <w:tc>
                <w:tcPr>
                  <w:tcW w:w="32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人员培训、销售作业指导书、流程、设备等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lang w:val="en-US" w:eastAsia="zh-CN"/>
              </w:rPr>
              <w:t>销售过程</w:t>
            </w:r>
          </w:p>
          <w:p>
            <w:pPr>
              <w:shd w:val="clear" w:color="auto" w:fill="C7DAF1" w:themeFill="text2" w:themeFillTint="32"/>
              <w:jc w:val="left"/>
              <w:rPr>
                <w:color w:val="auto"/>
              </w:rPr>
            </w:pPr>
            <w:r>
              <w:rPr>
                <w:rFonts w:hint="eastAsia"/>
                <w:color w:val="auto"/>
              </w:rPr>
              <w:t xml:space="preserve">■进行了有效的确认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 xml:space="preserve">对生产和服务提供过程的控制■符合要求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 xml:space="preserve">采用的标识方式：■标签 ■标牌 </w:t>
            </w:r>
            <w:r>
              <w:rPr>
                <w:rFonts w:ascii="Wingdings" w:hAnsi="Wingdings"/>
                <w:color w:val="auto"/>
              </w:rPr>
              <w:t></w:t>
            </w:r>
            <w:r>
              <w:rPr>
                <w:rFonts w:hint="eastAsia"/>
                <w:color w:val="auto"/>
              </w:rPr>
              <w:t xml:space="preserve">区域 </w:t>
            </w:r>
            <w:r>
              <w:rPr>
                <w:rFonts w:ascii="Wingdings" w:hAnsi="Wingdings"/>
                <w:color w:val="auto"/>
              </w:rPr>
              <w:t></w:t>
            </w:r>
            <w:r>
              <w:rPr>
                <w:rFonts w:hint="eastAsia"/>
                <w:color w:val="auto"/>
              </w:rPr>
              <w:t xml:space="preserve">容器编号 </w:t>
            </w:r>
            <w:r>
              <w:rPr>
                <w:rFonts w:ascii="Wingdings" w:hAnsi="Wingdings"/>
                <w:color w:val="auto"/>
              </w:rPr>
              <w:t></w:t>
            </w:r>
            <w:r>
              <w:rPr>
                <w:rFonts w:hint="eastAsia"/>
                <w:color w:val="auto"/>
              </w:rPr>
              <w:t xml:space="preserve">人员编号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可追溯性实现：■符合要求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ascii="Wingdings" w:hAnsi="Wingdings"/>
                <w:color w:val="auto"/>
              </w:rPr>
              <w:t></w:t>
            </w:r>
            <w:r>
              <w:rPr>
                <w:rFonts w:hint="eastAsia"/>
                <w:color w:val="auto"/>
              </w:rPr>
              <w:t xml:space="preserve">原材料 ■设备 </w:t>
            </w:r>
            <w:r>
              <w:rPr>
                <w:rFonts w:ascii="Wingdings" w:hAnsi="Wingdings"/>
                <w:color w:val="auto"/>
              </w:rPr>
              <w:t></w:t>
            </w:r>
            <w:r>
              <w:rPr>
                <w:rFonts w:hint="eastAsia"/>
                <w:color w:val="auto"/>
              </w:rPr>
              <w:t>检测设备</w:t>
            </w:r>
            <w:r>
              <w:rPr>
                <w:rFonts w:hint="eastAsia"/>
                <w:color w:val="auto"/>
              </w:rPr>
              <w:sym w:font="Wingdings" w:char="00A8"/>
            </w:r>
            <w:r>
              <w:rPr>
                <w:rFonts w:hint="eastAsia"/>
                <w:color w:val="auto"/>
              </w:rPr>
              <w:t xml:space="preserve">图纸 </w:t>
            </w:r>
            <w:r>
              <w:rPr>
                <w:rFonts w:ascii="Wingdings" w:hAnsi="Wingdings"/>
                <w:color w:val="auto"/>
              </w:rPr>
              <w:t></w:t>
            </w:r>
            <w:r>
              <w:rPr>
                <w:rFonts w:hint="eastAsia"/>
                <w:color w:val="auto"/>
              </w:rPr>
              <w:t xml:space="preserve">配方 ■个人信息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顾客或外部供方财产控制：■符合要求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 xml:space="preserve">产品防护：■符合要求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color w:val="auto"/>
              </w:rPr>
            </w:pPr>
            <w:r>
              <w:rPr>
                <w:rFonts w:hint="eastAsia"/>
                <w:color w:val="auto"/>
              </w:rPr>
              <w:t xml:space="preserve">目前交付后活动：■三包 </w:t>
            </w:r>
            <w:r>
              <w:rPr>
                <w:rFonts w:ascii="Wingdings" w:hAnsi="Wingdings"/>
                <w:color w:val="auto"/>
              </w:rPr>
              <w:t></w:t>
            </w:r>
            <w:r>
              <w:rPr>
                <w:rFonts w:hint="eastAsia"/>
                <w:color w:val="auto"/>
              </w:rPr>
              <w:t xml:space="preserve">维修 </w:t>
            </w:r>
            <w:r>
              <w:rPr>
                <w:rFonts w:ascii="Wingdings" w:hAnsi="Wingdings"/>
                <w:color w:val="auto"/>
              </w:rPr>
              <w:t></w:t>
            </w:r>
            <w:r>
              <w:rPr>
                <w:rFonts w:hint="eastAsia"/>
                <w:color w:val="auto"/>
              </w:rPr>
              <w:t xml:space="preserve">赔偿 </w:t>
            </w:r>
            <w:r>
              <w:rPr>
                <w:rFonts w:ascii="Wingdings" w:hAnsi="Wingdings"/>
                <w:color w:val="auto"/>
              </w:rPr>
              <w:t></w:t>
            </w:r>
            <w:r>
              <w:rPr>
                <w:rFonts w:hint="eastAsia"/>
                <w:color w:val="auto"/>
              </w:rPr>
              <w:t xml:space="preserve">道歉 </w:t>
            </w:r>
            <w:r>
              <w:rPr>
                <w:rFonts w:ascii="Wingdings" w:hAnsi="Wingdings"/>
                <w:color w:val="auto"/>
              </w:rPr>
              <w:t></w:t>
            </w:r>
            <w:r>
              <w:rPr>
                <w:rFonts w:hint="eastAsia"/>
                <w:color w:val="auto"/>
              </w:rPr>
              <w:t xml:space="preserve">最终处置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 xml:space="preserve">交付后活动：■符合要求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color w:val="auto"/>
              </w:rPr>
            </w:pPr>
            <w:r>
              <w:rPr>
                <w:rFonts w:hint="eastAsia"/>
                <w:color w:val="auto"/>
              </w:rPr>
              <w:t>已发生的更改包括：</w:t>
            </w:r>
            <w:r>
              <w:rPr>
                <w:rFonts w:ascii="Wingdings" w:hAnsi="Wingdings"/>
                <w:color w:val="auto"/>
              </w:rPr>
              <w:t></w:t>
            </w:r>
            <w:r>
              <w:rPr>
                <w:rFonts w:hint="eastAsia"/>
                <w:color w:val="auto"/>
              </w:rPr>
              <w:t xml:space="preserve">重要原材料 </w:t>
            </w:r>
            <w:r>
              <w:rPr>
                <w:rFonts w:ascii="Wingdings" w:hAnsi="Wingdings"/>
                <w:color w:val="auto"/>
              </w:rPr>
              <w:t></w:t>
            </w:r>
            <w:r>
              <w:rPr>
                <w:rFonts w:hint="eastAsia"/>
                <w:color w:val="auto"/>
              </w:rPr>
              <w:t xml:space="preserve">设备 </w:t>
            </w:r>
            <w:r>
              <w:rPr>
                <w:rFonts w:ascii="Wingdings" w:hAnsi="Wingdings"/>
                <w:color w:val="auto"/>
              </w:rPr>
              <w:t></w:t>
            </w:r>
            <w:r>
              <w:rPr>
                <w:rFonts w:hint="eastAsia"/>
                <w:color w:val="auto"/>
              </w:rPr>
              <w:t xml:space="preserve">检测设备 </w:t>
            </w:r>
            <w:r>
              <w:rPr>
                <w:rFonts w:ascii="Wingdings" w:hAnsi="Wingdings"/>
                <w:color w:val="auto"/>
              </w:rPr>
              <w:t></w:t>
            </w:r>
            <w:r>
              <w:rPr>
                <w:rFonts w:hint="eastAsia"/>
                <w:color w:val="auto"/>
              </w:rPr>
              <w:t xml:space="preserve">图纸 </w:t>
            </w:r>
            <w:r>
              <w:rPr>
                <w:rFonts w:ascii="Wingdings" w:hAnsi="Wingdings"/>
                <w:color w:val="auto"/>
              </w:rPr>
              <w:t></w:t>
            </w:r>
            <w:r>
              <w:rPr>
                <w:rFonts w:hint="eastAsia"/>
                <w:color w:val="auto"/>
              </w:rPr>
              <w:t xml:space="preserve">工艺 </w:t>
            </w:r>
            <w:r>
              <w:rPr>
                <w:rFonts w:ascii="Wingdings" w:hAnsi="Wingdings"/>
                <w:color w:val="auto"/>
              </w:rPr>
              <w:t></w:t>
            </w:r>
            <w:r>
              <w:rPr>
                <w:rFonts w:hint="eastAsia"/>
                <w:color w:val="auto"/>
              </w:rPr>
              <w:t xml:space="preserve">加工场所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 xml:space="preserve">实施了■进货检验 </w:t>
            </w:r>
            <w:r>
              <w:rPr>
                <w:rFonts w:ascii="Wingdings" w:hAnsi="Wingdings"/>
                <w:color w:val="auto"/>
              </w:rPr>
              <w:t></w:t>
            </w:r>
            <w:r>
              <w:rPr>
                <w:rFonts w:hint="eastAsia"/>
                <w:color w:val="auto"/>
              </w:rPr>
              <w:t xml:space="preserve">首件检验 ■过程检验 ■最终检验 </w:t>
            </w:r>
            <w:r>
              <w:rPr>
                <w:rFonts w:ascii="Wingdings" w:hAnsi="Wingdings"/>
                <w:color w:val="auto"/>
              </w:rPr>
              <w:t></w:t>
            </w:r>
            <w:r>
              <w:rPr>
                <w:rFonts w:hint="eastAsia"/>
                <w:color w:val="auto"/>
              </w:rPr>
              <w:t xml:space="preserve">型式检验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 xml:space="preserve">产品检验/服务放行：■符合要求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 xml:space="preserve">不合格品控制：■符合要求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color w:val="auto"/>
              </w:rPr>
              <w:t xml:space="preserve">■顾客调查 ■顾客对交付产品或服务的反馈  </w:t>
            </w:r>
            <w:r>
              <w:rPr>
                <w:rFonts w:ascii="Wingdings" w:hAnsi="Wingdings"/>
                <w:color w:val="auto"/>
              </w:rPr>
              <w:t></w:t>
            </w:r>
            <w:r>
              <w:rPr>
                <w:rFonts w:hint="eastAsia"/>
                <w:color w:val="auto"/>
              </w:rPr>
              <w:t xml:space="preserve">顾客座谈 </w:t>
            </w:r>
            <w:r>
              <w:rPr>
                <w:rFonts w:ascii="Wingdings" w:hAnsi="Wingdings"/>
                <w:color w:val="auto"/>
              </w:rPr>
              <w:t></w:t>
            </w:r>
            <w:r>
              <w:rPr>
                <w:rFonts w:hint="eastAsia"/>
                <w:color w:val="auto"/>
              </w:rPr>
              <w:t xml:space="preserve">市场占有率分析 </w:t>
            </w:r>
            <w:r>
              <w:rPr>
                <w:rFonts w:ascii="Wingdings" w:hAnsi="Wingdings"/>
                <w:color w:val="auto"/>
              </w:rPr>
              <w:t></w:t>
            </w:r>
            <w:r>
              <w:rPr>
                <w:rFonts w:hint="eastAsia"/>
                <w:color w:val="auto"/>
              </w:rPr>
              <w:t xml:space="preserve">顾客赞扬 </w:t>
            </w:r>
          </w:p>
          <w:p>
            <w:pPr>
              <w:shd w:val="clear" w:color="auto" w:fill="C7DAF1" w:themeFill="text2" w:themeFillTint="32"/>
              <w:rPr>
                <w:color w:val="auto"/>
              </w:rPr>
            </w:pPr>
            <w:r>
              <w:rPr>
                <w:rFonts w:ascii="Wingdings" w:hAnsi="Wingdings"/>
                <w:color w:val="auto"/>
              </w:rPr>
              <w:t></w:t>
            </w:r>
            <w:r>
              <w:rPr>
                <w:rFonts w:hint="eastAsia"/>
                <w:color w:val="auto"/>
              </w:rPr>
              <w:t>担保索赔和</w:t>
            </w:r>
            <w:r>
              <w:rPr>
                <w:rFonts w:ascii="Wingdings" w:hAnsi="Wingdings"/>
                <w:color w:val="auto"/>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2021  </w:t>
            </w:r>
            <w:r>
              <w:rPr>
                <w:rFonts w:hint="eastAsia"/>
                <w:color w:val="auto"/>
              </w:rPr>
              <w:t>年</w:t>
            </w:r>
            <w:r>
              <w:rPr>
                <w:rFonts w:hint="eastAsia"/>
                <w:color w:val="auto"/>
                <w:u w:val="single"/>
              </w:rPr>
              <w:t xml:space="preserve"> </w:t>
            </w:r>
            <w:r>
              <w:rPr>
                <w:rFonts w:hint="eastAsia"/>
                <w:color w:val="auto"/>
                <w:u w:val="single"/>
                <w:lang w:val="en-US" w:eastAsia="zh-CN"/>
              </w:rPr>
              <w:t>12</w:t>
            </w:r>
            <w:r>
              <w:rPr>
                <w:rFonts w:hint="eastAsia"/>
                <w:color w:val="auto"/>
              </w:rPr>
              <w:t>月</w:t>
            </w:r>
            <w:r>
              <w:rPr>
                <w:rFonts w:hint="eastAsia"/>
                <w:color w:val="auto"/>
                <w:u w:val="single"/>
              </w:rPr>
              <w:t xml:space="preserve"> </w:t>
            </w:r>
            <w:r>
              <w:rPr>
                <w:rFonts w:hint="eastAsia"/>
                <w:color w:val="auto"/>
                <w:u w:val="single"/>
                <w:lang w:val="en-US" w:eastAsia="zh-CN"/>
              </w:rPr>
              <w:t>10</w:t>
            </w:r>
            <w:r>
              <w:rPr>
                <w:rFonts w:hint="eastAsia"/>
                <w:color w:val="auto"/>
              </w:rPr>
              <w:t>日实施了质量管理体系内部审核，对质量管理体系的符合性和有效性进行了审核。内审发现的</w:t>
            </w:r>
            <w:r>
              <w:rPr>
                <w:rFonts w:hint="eastAsia"/>
                <w:color w:val="auto"/>
                <w:u w:val="single"/>
              </w:rPr>
              <w:t xml:space="preserve"> 1 </w:t>
            </w:r>
            <w:r>
              <w:rPr>
                <w:rFonts w:hint="eastAsia"/>
                <w:color w:val="auto"/>
              </w:rPr>
              <w:t>项不符合在本次审核前已完成整改。在公司内完成的这些审核是可信的。</w:t>
            </w: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对所有班次的现场操作已审核。</w:t>
            </w:r>
          </w:p>
          <w:p>
            <w:pPr>
              <w:shd w:val="clear" w:color="auto" w:fill="C7DAF1" w:themeFill="text2" w:themeFillTint="32"/>
              <w:rPr>
                <w:color w:val="auto"/>
              </w:rPr>
            </w:pPr>
            <w:r>
              <w:rPr>
                <w:rFonts w:ascii="Wingdings" w:hAnsi="Wingdings"/>
                <w:color w:val="auto"/>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12</w:t>
            </w:r>
            <w:r>
              <w:rPr>
                <w:rFonts w:hint="eastAsia"/>
                <w:color w:val="auto"/>
                <w:u w:val="single"/>
              </w:rPr>
              <w:t>月</w:t>
            </w:r>
            <w:r>
              <w:rPr>
                <w:rFonts w:hint="eastAsia"/>
                <w:color w:val="auto"/>
                <w:u w:val="single"/>
                <w:lang w:val="en-US" w:eastAsia="zh-CN"/>
              </w:rPr>
              <w:t>16</w:t>
            </w:r>
            <w:bookmarkStart w:id="26" w:name="_GoBack"/>
            <w:bookmarkEnd w:id="26"/>
            <w:r>
              <w:rPr>
                <w:rFonts w:hint="eastAsia"/>
                <w:color w:val="auto"/>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color w:val="auto"/>
              </w:rPr>
              <w:t xml:space="preserve">■不合格产品/服务 ■自我验证的结果  ■顾客投诉  ■顾客满意调查 </w:t>
            </w:r>
          </w:p>
          <w:p>
            <w:pPr>
              <w:shd w:val="clear" w:color="auto" w:fill="C7DAF1" w:themeFill="text2" w:themeFillTint="32"/>
              <w:rPr>
                <w:color w:val="auto"/>
              </w:rPr>
            </w:pPr>
            <w:r>
              <w:rPr>
                <w:rFonts w:hint="eastAsia"/>
                <w:color w:val="auto"/>
              </w:rPr>
              <w:t xml:space="preserve">■内审不符合项   ■外审不符合项  ■管理评审   ■目标统计分析结果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1A512904"/>
    <w:rsid w:val="2FF66EF4"/>
    <w:rsid w:val="3F8234FF"/>
    <w:rsid w:val="41B13212"/>
    <w:rsid w:val="46800C53"/>
    <w:rsid w:val="47DC7127"/>
    <w:rsid w:val="48D05C02"/>
    <w:rsid w:val="5BF8093F"/>
    <w:rsid w:val="5E614268"/>
    <w:rsid w:val="75F306FB"/>
    <w:rsid w:val="7C1D6340"/>
    <w:rsid w:val="7FAA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2022-01-17T01:12:34Z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