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0648-2020-Q-2022</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699770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北京雅伦达机械设备有限公司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13"/>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北京雅伦达机械设备有限公司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北京市昌平区沙河镇南一村</w:t>
            </w:r>
          </w:p>
        </w:tc>
        <w:tc>
          <w:tcPr>
            <w:tcW w:w="1242" w:type="dxa"/>
            <w:vMerge w:val="restart"/>
            <w:vAlign w:val="center"/>
          </w:tcPr>
          <w:p>
            <w:r>
              <w:rPr>
                <w:rFonts w:hint="eastAsia"/>
              </w:rPr>
              <w:t>邮编</w:t>
            </w:r>
          </w:p>
        </w:tc>
        <w:tc>
          <w:tcPr>
            <w:tcW w:w="1771" w:type="dxa"/>
            <w:vAlign w:val="top"/>
          </w:tcPr>
          <w:p>
            <w:r>
              <w:t>102206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北京市昌平区阳坊镇工业园区</w:t>
            </w:r>
          </w:p>
        </w:tc>
        <w:tc>
          <w:tcPr>
            <w:tcW w:w="1242" w:type="dxa"/>
            <w:vMerge w:val="continue"/>
            <w:vAlign w:val="center"/>
          </w:tcPr>
          <w:p/>
        </w:tc>
        <w:tc>
          <w:tcPr>
            <w:tcW w:w="1771" w:type="dxa"/>
            <w:vAlign w:val="top"/>
          </w:tcPr>
          <w:p>
            <w:r>
              <w:t>102205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潘时秀</w:t>
            </w:r>
          </w:p>
        </w:tc>
        <w:tc>
          <w:tcPr>
            <w:tcW w:w="1313" w:type="dxa"/>
            <w:vAlign w:val="center"/>
          </w:tcPr>
          <w:p>
            <w:r>
              <w:rPr>
                <w:rFonts w:hint="eastAsia"/>
              </w:rPr>
              <w:t>电话.</w:t>
            </w:r>
          </w:p>
        </w:tc>
        <w:tc>
          <w:tcPr>
            <w:tcW w:w="2180" w:type="dxa"/>
            <w:vAlign w:val="center"/>
          </w:tcPr>
          <w:p>
            <w:r>
              <w:t>13681014589</w:t>
            </w:r>
          </w:p>
        </w:tc>
        <w:tc>
          <w:tcPr>
            <w:tcW w:w="1242" w:type="dxa"/>
            <w:vAlign w:val="center"/>
          </w:tcPr>
          <w:p>
            <w:r>
              <w:rPr>
                <w:rFonts w:hint="eastAsia"/>
              </w:rPr>
              <w:t>传真</w:t>
            </w:r>
          </w:p>
        </w:tc>
        <w:tc>
          <w:tcPr>
            <w:tcW w:w="1771" w:type="dxa"/>
            <w:vAlign w:val="top"/>
          </w:tcPr>
          <w:p>
            <w:r>
              <w:t>010-52862527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王乃宏</w:t>
            </w:r>
          </w:p>
        </w:tc>
        <w:tc>
          <w:tcPr>
            <w:tcW w:w="1313" w:type="dxa"/>
            <w:vAlign w:val="center"/>
          </w:tcPr>
          <w:p>
            <w:r>
              <w:rPr>
                <w:rFonts w:hint="eastAsia"/>
              </w:rPr>
              <w:t>管理者代表</w:t>
            </w:r>
          </w:p>
        </w:tc>
        <w:tc>
          <w:tcPr>
            <w:tcW w:w="2180" w:type="dxa"/>
            <w:vAlign w:val="top"/>
          </w:tcPr>
          <w:p>
            <w:r>
              <w:t>靳红涛</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color w:val="auto"/>
              </w:rPr>
            </w:pPr>
          </w:p>
          <w:p>
            <w:pPr>
              <w:rPr>
                <w:rFonts w:hint="eastAsia" w:ascii="宋体" w:hAnsi="宋体"/>
                <w:szCs w:val="21"/>
              </w:rPr>
            </w:pPr>
            <w:r>
              <w:rPr>
                <w:rFonts w:hint="eastAsia" w:ascii="宋体" w:hAnsi="宋体"/>
                <w:color w:val="auto"/>
              </w:rPr>
              <w:t>流程：</w:t>
            </w:r>
            <w:r>
              <w:rPr>
                <w:rFonts w:hint="eastAsia" w:ascii="宋体" w:hAnsi="宋体"/>
                <w:szCs w:val="21"/>
              </w:rPr>
              <w:t>签定合同-采购原材料-金属结构加工制造（车、铣、</w:t>
            </w:r>
            <w:r>
              <w:rPr>
                <w:rFonts w:hint="eastAsia" w:ascii="宋体" w:hAnsi="宋体"/>
                <w:szCs w:val="21"/>
                <w:lang w:val="en-US" w:eastAsia="zh-CN"/>
              </w:rPr>
              <w:t>钻、</w:t>
            </w:r>
            <w:r>
              <w:rPr>
                <w:rFonts w:hint="eastAsia" w:ascii="宋体" w:hAnsi="宋体"/>
                <w:szCs w:val="21"/>
              </w:rPr>
              <w:t>加工中心）-检验-入库</w:t>
            </w:r>
          </w:p>
          <w:p/>
        </w:tc>
      </w:tr>
    </w:tbl>
    <w:p/>
    <w:p>
      <w:r>
        <w:rPr>
          <w:rFonts w:hint="eastAsia"/>
        </w:rPr>
        <w:t>二、本次审核信息</w:t>
      </w:r>
    </w:p>
    <w:tbl>
      <w:tblPr>
        <w:tblStyle w:val="13"/>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2022年01月1</w:t>
            </w:r>
            <w:r>
              <w:rPr>
                <w:rFonts w:hint="eastAsia"/>
                <w:lang w:val="en-US" w:eastAsia="zh-CN"/>
              </w:rPr>
              <w:t>4</w:t>
            </w:r>
            <w:r>
              <w:rPr>
                <w:rFonts w:hint="eastAsia"/>
              </w:rPr>
              <w:t>日 上午至2022年01月1</w:t>
            </w:r>
            <w:r>
              <w:rPr>
                <w:rFonts w:hint="eastAsia"/>
                <w:lang w:val="en-US" w:eastAsia="zh-CN"/>
              </w:rPr>
              <w:t>4</w:t>
            </w:r>
            <w:r>
              <w:rPr>
                <w:rFonts w:hint="eastAsia"/>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p/>
          <w:p/>
          <w:p/>
          <w:p/>
          <w:p>
            <w:r>
              <w:t>一般机械零部件的加工</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2020年5月1日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 xml:space="preserve"> </w:t>
            </w:r>
            <w:r>
              <w:rPr>
                <w:rFonts w:hint="eastAsia" w:ascii="Times New Roman" w:hAnsi="Times New Roman" w:eastAsia="宋体" w:cs="Times New Roman"/>
                <w:lang w:val="en-US" w:eastAsia="zh-CN"/>
              </w:rPr>
              <w:t>2020-11-24 -- 2020-11-26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13"/>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北京雅伦达机械设备有限公司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北京市昌平区沙河镇南一村</w:t>
            </w:r>
          </w:p>
        </w:tc>
        <w:tc>
          <w:tcPr>
            <w:tcW w:w="2267" w:type="dxa"/>
          </w:tcPr>
          <w:p>
            <w:pPr>
              <w:rPr>
                <w:rFonts w:hint="eastAsia" w:eastAsia="宋体"/>
                <w:lang w:val="en-US" w:eastAsia="zh-CN"/>
              </w:rPr>
            </w:pPr>
            <w:bookmarkStart w:id="20" w:name="生产地址"/>
            <w:r>
              <w:rPr>
                <w:rFonts w:ascii="宋体" w:hAnsi="宋体" w:cs="宋体"/>
                <w:color w:val="000000"/>
                <w:kern w:val="0"/>
                <w:szCs w:val="21"/>
              </w:rPr>
              <w:t>北京市昌平区阳坊镇工业园区</w:t>
            </w:r>
            <w:bookmarkEnd w:id="20"/>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bookmarkStart w:id="21" w:name="审核范围"/>
            <w:r>
              <w:rPr>
                <w:rFonts w:ascii="宋体" w:hAnsi="宋体" w:cs="宋体"/>
                <w:color w:val="000000"/>
                <w:kern w:val="0"/>
                <w:szCs w:val="21"/>
              </w:rPr>
              <w:t>一般机械零部件的加工</w:t>
            </w:r>
            <w:bookmarkEnd w:id="21"/>
          </w:p>
        </w:tc>
        <w:tc>
          <w:tcPr>
            <w:tcW w:w="669" w:type="dxa"/>
            <w:vAlign w:val="center"/>
          </w:tcPr>
          <w:p>
            <w:pPr>
              <w:rPr>
                <w:lang w:eastAsia="ja-JP"/>
              </w:rPr>
            </w:pPr>
            <w:bookmarkStart w:id="22" w:name="审核依据"/>
            <w:r>
              <w:rPr>
                <w:rFonts w:hint="eastAsia" w:ascii="宋体" w:hAnsi="宋体"/>
                <w:snapToGrid w:val="0"/>
                <w:color w:val="000000"/>
                <w:kern w:val="0"/>
                <w:sz w:val="18"/>
                <w:szCs w:val="21"/>
              </w:rPr>
              <w:t>GB/T19001-2016/ISO9001:2015</w:t>
            </w:r>
            <w:bookmarkEnd w:id="2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3"/>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变更为</w:t>
            </w:r>
            <w:r>
              <w:rPr>
                <w:rFonts w:ascii="宋体" w:hAnsi="宋体" w:cs="宋体"/>
                <w:color w:val="000000"/>
                <w:kern w:val="0"/>
                <w:szCs w:val="21"/>
              </w:rPr>
              <w:t>北京市昌平区阳坊镇工业园区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14"/>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4"/>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3"/>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3"/>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w:t>
            </w:r>
            <w:r>
              <w:rPr>
                <w:rFonts w:hint="eastAsia" w:ascii="宋体"/>
                <w:b/>
                <w:color w:val="auto"/>
                <w:szCs w:val="21"/>
                <w:lang w:val="en-US" w:eastAsia="zh-CN"/>
              </w:rPr>
              <w:t>2</w:t>
            </w:r>
            <w:r>
              <w:rPr>
                <w:rFonts w:hint="eastAsia" w:ascii="宋体"/>
                <w:b/>
                <w:color w:val="auto"/>
                <w:szCs w:val="21"/>
              </w:rPr>
              <w:t>年</w:t>
            </w:r>
            <w:r>
              <w:rPr>
                <w:rFonts w:hint="eastAsia" w:ascii="宋体"/>
                <w:b/>
                <w:color w:val="auto"/>
                <w:szCs w:val="21"/>
                <w:lang w:val="en-US" w:eastAsia="zh-CN"/>
              </w:rPr>
              <w:t>1</w:t>
            </w:r>
            <w:r>
              <w:rPr>
                <w:rFonts w:hint="eastAsia" w:ascii="宋体"/>
                <w:b/>
                <w:color w:val="auto"/>
                <w:szCs w:val="21"/>
              </w:rPr>
              <w:t>月</w:t>
            </w:r>
            <w:r>
              <w:rPr>
                <w:rFonts w:hint="eastAsia" w:ascii="宋体"/>
                <w:b/>
                <w:color w:val="auto"/>
                <w:szCs w:val="21"/>
                <w:lang w:val="en-US" w:eastAsia="zh-CN"/>
              </w:rPr>
              <w:t>14</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t xml:space="preserve">■价值观  ■文化  ■知识 ■绩效 ■工艺 ■设备 ■人员能力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w:t>
            </w:r>
            <w:r>
              <w:rPr>
                <w:rFonts w:ascii="宋体" w:hAnsi="宋体" w:cs="宋体"/>
                <w:color w:val="auto"/>
                <w:kern w:val="0"/>
                <w:szCs w:val="21"/>
              </w:rPr>
              <w:t>应用软件开发及维护服务；智能电网技术咨询</w:t>
            </w:r>
          </w:p>
          <w:p>
            <w:pPr>
              <w:shd w:val="clear" w:color="auto" w:fill="C7DAF1" w:themeFill="text2" w:themeFillTint="32"/>
              <w:rPr>
                <w:color w:val="auto"/>
              </w:rPr>
            </w:pPr>
            <w:r>
              <w:rPr>
                <w:rFonts w:hint="eastAsia"/>
                <w:color w:val="auto"/>
              </w:rPr>
              <w:t>对QMS的适用性（详见第一条款不适用条款和理由说明）：</w:t>
            </w:r>
            <w:r>
              <w:rPr>
                <w:rFonts w:hint="eastAsia"/>
                <w:color w:val="auto"/>
                <w:lang w:val="en-US" w:eastAsia="zh-CN"/>
              </w:rPr>
              <w:t xml:space="preserve">8.3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 xml:space="preserve">■市场拓展 □设备能力 ■人员能力 □检测水平□合同评审 □知识保密 </w:t>
            </w:r>
          </w:p>
          <w:p>
            <w:pPr>
              <w:shd w:val="clear" w:color="auto" w:fill="C7DAF1" w:themeFill="text2" w:themeFillTint="32"/>
              <w:spacing w:before="40" w:after="40"/>
              <w:rPr>
                <w:color w:val="auto"/>
              </w:rPr>
            </w:pPr>
            <w:r>
              <w:rPr>
                <w:rFonts w:hint="eastAsia"/>
                <w:color w:val="auto"/>
              </w:rPr>
              <w:t>■新产品设计开发 ■原材料采购 ■外部供方控制 □生产/服务控制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shd w:val="clear" w:color="auto" w:fill="C7DAF1" w:themeFill="text2" w:themeFillTint="32"/>
              <w:rPr>
                <w:rFonts w:hint="eastAsia" w:ascii="宋体" w:hAnsi="宋体"/>
              </w:rPr>
            </w:pPr>
            <w:r>
              <w:rPr>
                <w:rFonts w:hint="eastAsia" w:ascii="宋体" w:hAnsi="宋体"/>
              </w:rPr>
              <w:t>规范管理、周到服务、客户满意、持续改进</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color w:val="auto"/>
              </w:rPr>
              <w:t>综合部</w:t>
            </w:r>
            <w:r>
              <w:rPr>
                <w:rFonts w:hint="eastAsia"/>
                <w:color w:val="auto"/>
              </w:rPr>
              <w:t>、</w:t>
            </w:r>
            <w:r>
              <w:rPr>
                <w:rFonts w:hint="eastAsia"/>
                <w:color w:val="auto"/>
                <w:lang w:val="en-US" w:eastAsia="zh-CN"/>
              </w:rPr>
              <w:t>技术</w:t>
            </w:r>
            <w:r>
              <w:rPr>
                <w:color w:val="auto"/>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内部管理风险</w:t>
                  </w:r>
                </w:p>
              </w:tc>
              <w:tc>
                <w:tcPr>
                  <w:tcW w:w="3965" w:type="dxa"/>
                </w:tcPr>
                <w:p>
                  <w:pPr>
                    <w:shd w:val="clear" w:color="auto" w:fill="C7DAF1" w:themeFill="text2" w:themeFillTint="32"/>
                    <w:rPr>
                      <w:color w:val="auto"/>
                    </w:rPr>
                  </w:pPr>
                  <w:r>
                    <w:rPr>
                      <w:rFonts w:hint="eastAsia" w:asciiTheme="minorEastAsia" w:hAnsiTheme="minorEastAsia" w:eastAsiaTheme="minorEastAsia"/>
                      <w:color w:val="auto"/>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内部人员管理风险</w:t>
                  </w:r>
                </w:p>
              </w:tc>
              <w:tc>
                <w:tcPr>
                  <w:tcW w:w="3965" w:type="dxa"/>
                </w:tcPr>
                <w:p>
                  <w:pPr>
                    <w:shd w:val="clear" w:color="auto" w:fill="C7DAF1" w:themeFill="text2" w:themeFillTint="32"/>
                    <w:rPr>
                      <w:color w:val="auto"/>
                    </w:rPr>
                  </w:pPr>
                  <w:r>
                    <w:rPr>
                      <w:rFonts w:hint="eastAsia"/>
                      <w:color w:val="auto"/>
                    </w:rPr>
                    <w:t>人员招聘和培训</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内部信息化文件管理风险</w:t>
                  </w:r>
                </w:p>
              </w:tc>
              <w:tc>
                <w:tcPr>
                  <w:tcW w:w="3965" w:type="dxa"/>
                </w:tcPr>
                <w:p>
                  <w:pPr>
                    <w:shd w:val="clear" w:color="auto" w:fill="C7DAF1" w:themeFill="text2" w:themeFillTint="32"/>
                    <w:rPr>
                      <w:color w:val="auto"/>
                    </w:rPr>
                  </w:pPr>
                  <w:r>
                    <w:rPr>
                      <w:rFonts w:hint="eastAsia"/>
                      <w:color w:val="auto"/>
                    </w:rPr>
                    <w:t>失效文件及时回收销毁</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外部顾客监视和测量风险</w:t>
                  </w:r>
                </w:p>
              </w:tc>
              <w:tc>
                <w:tcPr>
                  <w:tcW w:w="3965" w:type="dxa"/>
                </w:tcPr>
                <w:p>
                  <w:pPr>
                    <w:shd w:val="clear" w:color="auto" w:fill="C7DAF1" w:themeFill="text2" w:themeFillTint="32"/>
                    <w:rPr>
                      <w:color w:val="auto"/>
                    </w:rPr>
                  </w:pPr>
                  <w:r>
                    <w:rPr>
                      <w:rFonts w:hint="eastAsia"/>
                      <w:color w:val="auto"/>
                    </w:rPr>
                    <w:t>对所接到的客户投诉登记汇总，安排专人负责处理并及时回复客户，确保产品质量和交期，与客户保持积极沟通，以确保客户的满意</w:t>
                  </w:r>
                </w:p>
              </w:tc>
              <w:tc>
                <w:tcPr>
                  <w:tcW w:w="1717" w:type="dxa"/>
                </w:tcPr>
                <w:p>
                  <w:pPr>
                    <w:rPr>
                      <w:color w:val="auto"/>
                    </w:rPr>
                  </w:pPr>
                  <w:r>
                    <w:rPr>
                      <w:color w:val="auto"/>
                    </w:rPr>
                    <w:t>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Theme="minorEastAsia" w:hAnsiTheme="minorEastAsia" w:eastAsiaTheme="minorEastAsia" w:cstheme="minorEastAsia"/>
                      <w:b w:val="0"/>
                      <w:bCs w:val="0"/>
                      <w:sz w:val="21"/>
                      <w:szCs w:val="21"/>
                    </w:rPr>
                    <w:t>合同履约率≥98%</w:t>
                  </w:r>
                </w:p>
              </w:tc>
              <w:tc>
                <w:tcPr>
                  <w:tcW w:w="3136" w:type="dxa"/>
                  <w:shd w:val="clear" w:color="auto" w:fill="auto"/>
                  <w:vAlign w:val="center"/>
                </w:tcPr>
                <w:p>
                  <w:pPr>
                    <w:shd w:val="clear" w:color="auto" w:fill="C7DAF1" w:themeFill="text2" w:themeFillTint="32"/>
                    <w:rPr>
                      <w:color w:val="auto"/>
                      <w:lang w:val="en-GB"/>
                    </w:rPr>
                  </w:pPr>
                  <w:r>
                    <w:rPr>
                      <w:rFonts w:hint="eastAsia" w:asciiTheme="minorEastAsia" w:hAnsiTheme="minorEastAsia" w:eastAsiaTheme="minorEastAsia"/>
                      <w:color w:val="auto"/>
                      <w:szCs w:val="21"/>
                      <w:lang w:val="en-US" w:eastAsia="zh-CN"/>
                    </w:rPr>
                    <w:t>评审合同</w:t>
                  </w:r>
                  <w:r>
                    <w:rPr>
                      <w:rFonts w:hint="eastAsia" w:asciiTheme="minorEastAsia" w:hAnsiTheme="minorEastAsia" w:eastAsiaTheme="minorEastAsia"/>
                      <w:color w:val="auto"/>
                      <w:szCs w:val="21"/>
                    </w:rPr>
                    <w:t>数/总数*100%</w:t>
                  </w:r>
                </w:p>
              </w:tc>
              <w:tc>
                <w:tcPr>
                  <w:tcW w:w="1350" w:type="dxa"/>
                  <w:shd w:val="clear" w:color="auto" w:fill="auto"/>
                  <w:vAlign w:val="center"/>
                </w:tcPr>
                <w:p>
                  <w:pPr>
                    <w:shd w:val="clear" w:color="auto" w:fill="C7DAF1" w:themeFill="text2" w:themeFillTint="32"/>
                    <w:rPr>
                      <w:rFonts w:hint="default"/>
                      <w:color w:val="auto"/>
                      <w:lang w:val="en-US"/>
                    </w:rPr>
                  </w:pPr>
                  <w:r>
                    <w:rPr>
                      <w:rFonts w:hint="eastAsia"/>
                      <w:color w:val="auto"/>
                      <w:lang w:val="en-US" w:eastAsia="zh-CN"/>
                    </w:rPr>
                    <w:t>行政部</w:t>
                  </w:r>
                </w:p>
              </w:tc>
              <w:tc>
                <w:tcPr>
                  <w:tcW w:w="1774" w:type="dxa"/>
                  <w:shd w:val="clear" w:color="auto" w:fill="auto"/>
                  <w:vAlign w:val="center"/>
                </w:tcPr>
                <w:p>
                  <w:pPr>
                    <w:shd w:val="clear" w:color="auto" w:fill="C7DAF1" w:themeFill="text2" w:themeFillTint="32"/>
                    <w:jc w:val="center"/>
                    <w:rPr>
                      <w:rFonts w:ascii="宋体" w:hAnsi="宋体"/>
                      <w:color w:val="auto"/>
                      <w:lang w:val="en-GB"/>
                    </w:rPr>
                  </w:pPr>
                  <w:r>
                    <w:rPr>
                      <w:rFonts w:hint="eastAsia" w:ascii="宋体" w:hAnsi="宋体"/>
                      <w:color w:val="auto"/>
                      <w:lang w:val="en-US" w:eastAsia="zh-CN"/>
                    </w:rPr>
                    <w:t>100</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Theme="minorEastAsia" w:hAnsiTheme="minorEastAsia" w:eastAsiaTheme="minorEastAsia"/>
                      <w:color w:val="auto"/>
                      <w:szCs w:val="21"/>
                    </w:rPr>
                    <w:t>顾客满意率≥95%</w:t>
                  </w:r>
                </w:p>
              </w:tc>
              <w:tc>
                <w:tcPr>
                  <w:tcW w:w="3136" w:type="dxa"/>
                  <w:shd w:val="clear" w:color="auto" w:fill="auto"/>
                  <w:vAlign w:val="center"/>
                </w:tcPr>
                <w:p>
                  <w:pPr>
                    <w:shd w:val="clear" w:color="auto" w:fill="C7DAF1" w:themeFill="text2" w:themeFillTint="32"/>
                    <w:rPr>
                      <w:rFonts w:ascii="宋体" w:hAnsi="宋体"/>
                      <w:color w:val="auto"/>
                    </w:rPr>
                  </w:pPr>
                  <w:r>
                    <w:rPr>
                      <w:rFonts w:hint="eastAsia" w:asciiTheme="minorEastAsia" w:hAnsiTheme="minorEastAsia" w:eastAsiaTheme="minorEastAsia"/>
                      <w:color w:val="auto"/>
                      <w:szCs w:val="21"/>
                    </w:rPr>
                    <w:t>满意度调查分数/总分数*100%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行政部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hint="default" w:ascii="宋体" w:hAnsi="宋体" w:eastAsia="宋体"/>
                      <w:color w:val="auto"/>
                      <w:lang w:val="en-US" w:eastAsia="zh-CN"/>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rPr>
                <w:color w:val="auto"/>
              </w:rPr>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500</w:t>
            </w:r>
            <w:r>
              <w:rPr>
                <w:rFonts w:hint="eastAsia"/>
                <w:color w:val="auto"/>
              </w:rPr>
              <w:t>平方米；生产车间</w:t>
            </w:r>
            <w:r>
              <w:rPr>
                <w:rFonts w:hint="eastAsia"/>
                <w:color w:val="auto"/>
                <w:u w:val="single"/>
                <w:lang w:val="en-US" w:eastAsia="zh-CN"/>
              </w:rPr>
              <w:t>1</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车床、铣床、钻床、加工中心、数控车床、数控铣床</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A8"/>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A8"/>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color w:val="auto"/>
                <w:lang w:eastAsia="zh-CN"/>
              </w:rPr>
              <w:t>☑</w:t>
            </w:r>
            <w:r>
              <w:rPr>
                <w:rFonts w:hint="eastAsia"/>
                <w:color w:val="auto"/>
              </w:rPr>
              <w:t xml:space="preserve">计量器具   </w:t>
            </w:r>
            <w:r>
              <w:rPr>
                <w:rFonts w:hint="eastAsia"/>
                <w:color w:val="auto"/>
              </w:rPr>
              <w:sym w:font="Wingdings" w:char="00FE"/>
            </w:r>
            <w:r>
              <w:rPr>
                <w:rFonts w:hint="eastAsia"/>
                <w:color w:val="auto"/>
              </w:rPr>
              <w:t xml:space="preserve">服务流程检查表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ascii="Wingdings" w:hAnsi="Wingdings"/>
                <w:color w:val="auto"/>
              </w:rPr>
              <w:t></w:t>
            </w:r>
            <w:r>
              <w:rPr>
                <w:rFonts w:hint="eastAsia"/>
                <w:color w:val="auto"/>
              </w:rPr>
              <w:t xml:space="preserve">自校   </w:t>
            </w:r>
            <w:r>
              <w:rPr>
                <w:rFonts w:ascii="Wingdings" w:hAnsi="Wingdings"/>
                <w:color w:val="auto"/>
              </w:rPr>
              <w:sym w:font="Wingdings" w:char="00FE"/>
            </w:r>
            <w:r>
              <w:rPr>
                <w:rFonts w:hint="eastAsia"/>
                <w:color w:val="auto"/>
              </w:rPr>
              <w:t xml:space="preserve">外校  </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 xml:space="preserve">    </w:t>
            </w:r>
            <w:r>
              <w:rPr>
                <w:rFonts w:hint="eastAsia"/>
                <w:color w:val="auto"/>
                <w:u w:val="single"/>
                <w:lang w:val="en-US" w:eastAsia="zh-CN"/>
              </w:rPr>
              <w:t>卡尺</w:t>
            </w:r>
            <w:r>
              <w:rPr>
                <w:rFonts w:hint="eastAsia"/>
                <w:color w:val="auto"/>
                <w:u w:val="single"/>
              </w:rPr>
              <w:t xml:space="preserve">                  （列举1~4种）</w:t>
            </w:r>
          </w:p>
          <w:p>
            <w:pPr>
              <w:shd w:val="clear" w:color="auto" w:fill="C7DAF1" w:themeFill="text2" w:themeFillTint="32"/>
              <w:rPr>
                <w:color w:val="auto"/>
                <w:u w:val="single"/>
              </w:rPr>
            </w:pPr>
            <w:r>
              <w:rPr>
                <w:rFonts w:hint="eastAsia"/>
                <w:color w:val="auto"/>
              </w:rPr>
              <w:t>计量器具管理：</w:t>
            </w:r>
            <w:r>
              <w:rPr>
                <w:rFonts w:ascii="Wingdings" w:hAnsi="Wingdings"/>
                <w:color w:val="auto"/>
              </w:rPr>
              <w:sym w:font="Wingdings" w:char="00FE"/>
            </w:r>
            <w:r>
              <w:rPr>
                <w:rFonts w:hint="eastAsia"/>
                <w:color w:val="auto"/>
              </w:rPr>
              <w:t xml:space="preserve">进行了定期校准/检定  </w:t>
            </w:r>
            <w:r>
              <w:rPr>
                <w:rFonts w:ascii="Wingdings" w:hAnsi="Wingdings"/>
                <w:color w:val="auto"/>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rPr>
                <w:color w:val="auto"/>
              </w:rPr>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ascii="Wingdings" w:hAnsi="Wingdings"/>
                <w:color w:val="auto"/>
              </w:rPr>
              <w:sym w:font="Wingdings" w:char="00FE"/>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rPr>
                <w:color w:val="auto"/>
              </w:rPr>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 xml:space="preserve">组织的生产和服务提供流程图（见第三条款）， </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ascii="宋体" w:hAnsi="宋体" w:cs="宋体"/>
                      <w:color w:val="000000"/>
                      <w:kern w:val="0"/>
                      <w:szCs w:val="21"/>
                    </w:rPr>
                    <w:t>一般机械零部件的加工</w:t>
                  </w:r>
                </w:p>
              </w:tc>
              <w:tc>
                <w:tcPr>
                  <w:tcW w:w="3665" w:type="dxa"/>
                </w:tcPr>
                <w:p>
                  <w:pPr>
                    <w:shd w:val="clear" w:color="auto" w:fill="C7DAF1" w:themeFill="text2" w:themeFillTint="32"/>
                    <w:jc w:val="left"/>
                    <w:rPr>
                      <w:rFonts w:hint="default" w:eastAsia="宋体"/>
                      <w:color w:val="auto"/>
                      <w:lang w:val="en-US" w:eastAsia="zh-CN"/>
                    </w:rPr>
                  </w:pPr>
                  <w:r>
                    <w:rPr>
                      <w:rFonts w:hint="eastAsia" w:ascii="宋体" w:hAnsi="宋体"/>
                      <w:szCs w:val="21"/>
                      <w:lang w:val="en-US" w:eastAsia="zh-CN"/>
                    </w:rPr>
                    <w:t>数控加工</w:t>
                  </w:r>
                </w:p>
              </w:tc>
              <w:tc>
                <w:tcPr>
                  <w:tcW w:w="32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人员培训、作业指导书、流程、设备、加工工艺等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ascii="宋体" w:hAnsi="宋体"/>
                <w:szCs w:val="21"/>
                <w:lang w:val="en-US" w:eastAsia="zh-CN"/>
              </w:rPr>
              <w:t>数控加工</w:t>
            </w:r>
            <w:r>
              <w:rPr>
                <w:rFonts w:hint="eastAsia"/>
                <w:color w:val="auto"/>
                <w:lang w:val="en-US" w:eastAsia="zh-CN"/>
              </w:rPr>
              <w:t>过程</w:t>
            </w:r>
          </w:p>
          <w:p>
            <w:pPr>
              <w:shd w:val="clear" w:color="auto" w:fill="C7DAF1" w:themeFill="text2" w:themeFillTint="32"/>
              <w:jc w:val="left"/>
              <w:rPr>
                <w:color w:val="auto"/>
              </w:rPr>
            </w:pPr>
            <w:r>
              <w:rPr>
                <w:rFonts w:hint="eastAsia"/>
                <w:color w:val="auto"/>
              </w:rPr>
              <w:t xml:space="preserve">■进行了有效的确认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 xml:space="preserve">对生产和服务提供过程的控制■符合要求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color w:val="auto"/>
              </w:rPr>
            </w:pPr>
            <w:r>
              <w:rPr>
                <w:rFonts w:hint="eastAsia"/>
                <w:color w:val="auto"/>
              </w:rPr>
              <w:t>已发生的更改包括：</w:t>
            </w:r>
            <w:r>
              <w:rPr>
                <w:rFonts w:ascii="Wingdings" w:hAnsi="Wingdings"/>
                <w:color w:val="auto"/>
              </w:rPr>
              <w:t></w:t>
            </w:r>
            <w:r>
              <w:rPr>
                <w:rFonts w:hint="eastAsia"/>
                <w:color w:val="auto"/>
              </w:rPr>
              <w:t xml:space="preserve">重要原材料 </w:t>
            </w:r>
            <w:r>
              <w:rPr>
                <w:rFonts w:ascii="Wingdings" w:hAnsi="Wingdings"/>
                <w:color w:val="auto"/>
              </w:rPr>
              <w:t></w:t>
            </w:r>
            <w:r>
              <w:rPr>
                <w:rFonts w:hint="eastAsia"/>
                <w:color w:val="auto"/>
              </w:rPr>
              <w:t xml:space="preserve">设备 </w:t>
            </w:r>
            <w:r>
              <w:rPr>
                <w:rFonts w:ascii="Wingdings" w:hAnsi="Wingdings"/>
                <w:color w:val="auto"/>
              </w:rPr>
              <w:t></w:t>
            </w:r>
            <w:r>
              <w:rPr>
                <w:rFonts w:hint="eastAsia"/>
                <w:color w:val="auto"/>
              </w:rPr>
              <w:t xml:space="preserve">检测设备 </w:t>
            </w:r>
            <w:r>
              <w:rPr>
                <w:rFonts w:ascii="Wingdings" w:hAnsi="Wingdings"/>
                <w:color w:val="auto"/>
              </w:rPr>
              <w:t></w:t>
            </w:r>
            <w:r>
              <w:rPr>
                <w:rFonts w:hint="eastAsia"/>
                <w:color w:val="auto"/>
              </w:rPr>
              <w:t xml:space="preserve">图纸 </w:t>
            </w:r>
            <w:r>
              <w:rPr>
                <w:rFonts w:ascii="Wingdings" w:hAnsi="Wingdings"/>
                <w:color w:val="auto"/>
              </w:rPr>
              <w:t></w:t>
            </w:r>
            <w:r>
              <w:rPr>
                <w:rFonts w:hint="eastAsia"/>
                <w:color w:val="auto"/>
              </w:rPr>
              <w:t xml:space="preserve">工艺 </w:t>
            </w:r>
            <w:r>
              <w:rPr>
                <w:rFonts w:ascii="Wingdings" w:hAnsi="Wingdings"/>
                <w:color w:val="auto"/>
              </w:rPr>
              <w:t></w:t>
            </w:r>
            <w:r>
              <w:rPr>
                <w:rFonts w:hint="eastAsia"/>
                <w:color w:val="auto"/>
              </w:rPr>
              <w:t xml:space="preserve">加工场所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2021  </w:t>
            </w:r>
            <w:r>
              <w:rPr>
                <w:rFonts w:hint="eastAsia"/>
                <w:color w:val="auto"/>
              </w:rPr>
              <w:t>年</w:t>
            </w:r>
            <w:r>
              <w:rPr>
                <w:rFonts w:hint="eastAsia"/>
                <w:color w:val="auto"/>
                <w:u w:val="single"/>
              </w:rPr>
              <w:t xml:space="preserve"> </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10</w:t>
            </w:r>
            <w:r>
              <w:rPr>
                <w:rFonts w:hint="eastAsia"/>
                <w:color w:val="auto"/>
              </w:rPr>
              <w:t>日实施了质量管理体系内部审核，对质量管理体系的符合性和有效性进行了审核。内审发现的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对所有班次的现场操作已审核。</w:t>
            </w:r>
          </w:p>
          <w:p>
            <w:pPr>
              <w:shd w:val="clear" w:color="auto" w:fill="C7DAF1" w:themeFill="text2" w:themeFillTint="32"/>
              <w:rPr>
                <w:color w:val="auto"/>
              </w:rPr>
            </w:pPr>
            <w:r>
              <w:rPr>
                <w:rFonts w:ascii="Wingdings" w:hAnsi="Wingdings"/>
                <w:color w:val="auto"/>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10</w:t>
            </w:r>
            <w:r>
              <w:rPr>
                <w:rFonts w:hint="eastAsia"/>
                <w:color w:val="auto"/>
                <w:u w:val="single"/>
              </w:rPr>
              <w:t>月</w:t>
            </w:r>
            <w:r>
              <w:rPr>
                <w:rFonts w:hint="eastAsia"/>
                <w:color w:val="auto"/>
                <w:u w:val="single"/>
                <w:lang w:val="en-US" w:eastAsia="zh-CN"/>
              </w:rPr>
              <w:t>20</w:t>
            </w:r>
            <w:bookmarkStart w:id="26" w:name="_GoBack"/>
            <w:bookmarkEnd w:id="26"/>
            <w:r>
              <w:rPr>
                <w:rFonts w:hint="eastAsia"/>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rPr>
                <w:color w:val="auto"/>
              </w:rPr>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0"/>
      <w:pBdr>
        <w:bottom w:val="single" w:color="auto" w:sz="4" w:space="1"/>
      </w:pBdr>
      <w:spacing w:line="320" w:lineRule="exact"/>
      <w:ind w:firstLine="756" w:firstLineChars="400"/>
      <w:jc w:val="left"/>
      <w:rPr>
        <w:rStyle w:val="22"/>
        <w:rFonts w:hint="default"/>
      </w:rPr>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2FF66EF4"/>
    <w:rsid w:val="3F8234FF"/>
    <w:rsid w:val="41B13212"/>
    <w:rsid w:val="46800C53"/>
    <w:rsid w:val="47DC7127"/>
    <w:rsid w:val="48D05C02"/>
    <w:rsid w:val="53CD04DB"/>
    <w:rsid w:val="5BF8093F"/>
    <w:rsid w:val="5E614268"/>
    <w:rsid w:val="75F306FB"/>
    <w:rsid w:val="7C1D6340"/>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style>
  <w:style w:type="paragraph" w:customStyle="1" w:styleId="4">
    <w:name w:val="1"/>
    <w:basedOn w:val="5"/>
    <w:next w:val="6"/>
    <w:qFormat/>
    <w:uiPriority w:val="0"/>
    <w:pPr>
      <w:spacing w:afterLines="50" w:line="360" w:lineRule="auto"/>
    </w:pPr>
    <w:rPr>
      <w:rFonts w:ascii="宋体" w:hAnsi="宋体"/>
      <w:b/>
      <w:sz w:val="30"/>
      <w:szCs w:val="21"/>
    </w:rPr>
  </w:style>
  <w:style w:type="paragraph" w:customStyle="1" w:styleId="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0"/>
    <w:pPr>
      <w:ind w:firstLine="525" w:firstLineChars="210"/>
    </w:pPr>
    <w:rPr>
      <w:spacing w:val="20"/>
    </w:rPr>
  </w:style>
  <w:style w:type="paragraph" w:customStyle="1" w:styleId="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paragraph" w:styleId="17">
    <w:name w:val="List Paragraph"/>
    <w:basedOn w:val="1"/>
    <w:qFormat/>
    <w:uiPriority w:val="34"/>
    <w:pPr>
      <w:ind w:firstLine="420" w:firstLineChars="200"/>
    </w:pPr>
  </w:style>
  <w:style w:type="character" w:customStyle="1" w:styleId="18">
    <w:name w:val="页眉 Char1"/>
    <w:basedOn w:val="15"/>
    <w:link w:val="10"/>
    <w:qFormat/>
    <w:uiPriority w:val="99"/>
    <w:rPr>
      <w:rFonts w:ascii="Times New Roman" w:hAnsi="Times New Roman" w:eastAsia="宋体" w:cs="Times New Roman"/>
      <w:sz w:val="18"/>
      <w:szCs w:val="18"/>
    </w:rPr>
  </w:style>
  <w:style w:type="character" w:customStyle="1" w:styleId="19">
    <w:name w:val="页脚 Char"/>
    <w:basedOn w:val="15"/>
    <w:link w:val="9"/>
    <w:qFormat/>
    <w:uiPriority w:val="99"/>
    <w:rPr>
      <w:rFonts w:ascii="Times New Roman" w:hAnsi="Times New Roman" w:eastAsia="宋体" w:cs="Times New Roman"/>
      <w:sz w:val="18"/>
      <w:szCs w:val="18"/>
    </w:rPr>
  </w:style>
  <w:style w:type="character" w:customStyle="1" w:styleId="20">
    <w:name w:val="批注框文本 Char"/>
    <w:basedOn w:val="15"/>
    <w:link w:val="8"/>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2022-01-17T05:29:17Z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