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41"/>
        <w:gridCol w:w="948"/>
        <w:gridCol w:w="1416"/>
        <w:gridCol w:w="86"/>
        <w:gridCol w:w="1004"/>
        <w:gridCol w:w="934"/>
        <w:gridCol w:w="762"/>
        <w:gridCol w:w="199"/>
        <w:gridCol w:w="57"/>
        <w:gridCol w:w="974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宿州市信德机械股份有限公司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安徽省宿州市埇桥区时村镇西湖商业街中段路西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安徽省宿州市埇桥区时村镇西湖商业街中段路西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马雪玲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15399582203</w:t>
            </w:r>
            <w:bookmarkEnd w:id="4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605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0337-2020-Q-2022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7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1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远程审核方式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1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远程审核资源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2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70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9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b/>
                <w:bCs/>
                <w:sz w:val="20"/>
              </w:rPr>
              <w:t>农业机械（喷雾机、精播机、玉米机 、大豆机 、撒肥机）的制造（3C证书许可范围内）</w:t>
            </w:r>
            <w:bookmarkEnd w:id="20"/>
          </w:p>
        </w:tc>
        <w:tc>
          <w:tcPr>
            <w:tcW w:w="10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18.03.00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2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5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7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远程审核于2022年01月12日 上午至2022年01月12日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7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18.03.00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1" w:type="dxa"/>
            <w:vAlign w:val="center"/>
          </w:tcPr>
          <w:p/>
        </w:tc>
        <w:tc>
          <w:tcPr>
            <w:tcW w:w="12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1" w:type="dxa"/>
            <w:vAlign w:val="center"/>
          </w:tcPr>
          <w:p/>
        </w:tc>
        <w:tc>
          <w:tcPr>
            <w:tcW w:w="12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63500</wp:posOffset>
                  </wp:positionV>
                  <wp:extent cx="387350" cy="297815"/>
                  <wp:effectExtent l="0" t="0" r="6350" b="698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2022.1.12</w:t>
            </w:r>
          </w:p>
        </w:tc>
      </w:tr>
    </w:tbl>
    <w:p>
      <w:r>
        <w:rPr>
          <w:rFonts w:asciiTheme="minorEastAsia" w:hAnsiTheme="minorEastAsia" w:eastAsiaTheme="minorEastAsia"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-603885</wp:posOffset>
            </wp:positionV>
            <wp:extent cx="7156450" cy="10131425"/>
            <wp:effectExtent l="0" t="0" r="6350" b="3175"/>
            <wp:wrapNone/>
            <wp:docPr id="1" name="图片 1" descr="审核计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计划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6450" cy="1013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68"/>
        <w:gridCol w:w="1205"/>
        <w:gridCol w:w="2815"/>
        <w:gridCol w:w="274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2022.1.12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5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远程首次会议、巡视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9:00-10：30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815" w:type="dxa"/>
            <w:vAlign w:val="top"/>
          </w:tcPr>
          <w:p>
            <w:pPr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40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、7.4、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证书、标志使用情况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10：30-11：30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管理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281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74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、、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11：30-12：30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销售部</w:t>
            </w:r>
          </w:p>
        </w:tc>
        <w:tc>
          <w:tcPr>
            <w:tcW w:w="281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40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.3、8.5.5、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779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13：30-15：30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生产部</w:t>
            </w:r>
          </w:p>
        </w:tc>
        <w:tc>
          <w:tcPr>
            <w:tcW w:w="2815" w:type="dxa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40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7.1.5、</w:t>
            </w:r>
            <w:r>
              <w:rPr>
                <w:rFonts w:hint="eastAsia" w:ascii="宋体" w:hAnsi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.1、8.5.2、8.5.4、8.5.6、</w:t>
            </w:r>
            <w:r>
              <w:rPr>
                <w:rFonts w:hint="eastAsia" w:ascii="宋体" w:hAnsi="宋体" w:cs="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15：30-17：30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品质部</w:t>
            </w:r>
          </w:p>
        </w:tc>
        <w:tc>
          <w:tcPr>
            <w:tcW w:w="281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40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8.7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17:30-17:30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bookmarkStart w:id="29" w:name="_GoBack"/>
            <w:bookmarkEnd w:id="29"/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5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李俐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02D8B"/>
    <w:rsid w:val="12C82F01"/>
    <w:rsid w:val="326F5351"/>
    <w:rsid w:val="52A71CFB"/>
    <w:rsid w:val="61F33132"/>
    <w:rsid w:val="66CD3AC1"/>
    <w:rsid w:val="687F2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2022-03-07T14:54:52Z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