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北京健远泰德热能科技有限公司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北京市通州区永乐经济开发区恒业八街6号院12号楼401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北京市通州区永乐经济开发区恒业八街6号院12号楼401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15010829621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2443113709@qq.com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t>周立健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0575-2019-QEO-2022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Q：智能暖通控制系统设备、自动化控制设备的销售；3C许可范围内的低压控制柜（低压成套开关柜）的组装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E：智能暖通控制系统设备、自动化控制设备的销售；3C许可范围内的低压控制柜（低压成套开关柜）的组装及其所涉及的环境管理活动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Q：19.09.02;29.10.07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E：19.09.02;29.10.07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2022年01月13日 上午至2022年01月13日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Q:19.09.02,29.10.07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E:19.09.02,29.10.07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  <w:bookmarkStart w:id="33" w:name="_GoBack"/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2022.1.12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2022.1.13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E:4.1/4.2/4.3/4.4/5.1/5.2/5.3/6.1.1/6.1.4/6.2/7.1/9.3/10.1/10.3</w:t>
            </w:r>
          </w:p>
          <w:p>
            <w:pPr>
              <w:snapToGrid w:val="0"/>
              <w:spacing w:line="260" w:lineRule="exact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8：00-10：00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Q:5.3/6.1.2/6.2/8.2/8.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5.1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/9.1.2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智能暖通控制系统设备、自动化控制设备的销售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销售过程及合同管理；顾客满意调查等与本部门有关的环境运行控制等；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质检部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Q:5.3/6.1.2/6.2/8.6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E:5.3/6.2/6.1.2/8.1/8.2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品质检验过程的控制及相关的环境管理活动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综合部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(含财务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Q:5.3/6.1/6.2/9.1.3/9.2/10.2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E:5.3/6.1.2/6.1.1/6.1.3/6.2//8.1/8.2/9.2/10.1/10.2/6.1.3/9.1.1/9.1.2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部门职责权限、目标管理方案,风险与机遇；人力资源管理；采购控制情况，内部审核，环境运行控制等。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Q:5.3/6.1.2/6.2//8.1/8.5/8.6/8.7/10.2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E:5.3/6.2/6.1.2/8.1/8.2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3C许可范围内的低压控制柜（低压成套开关柜）的组装控制情况、服务记录，以及服务过程中的环境管理情况的控制等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全体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napToGrid w:val="0"/>
              <w:spacing w:line="260" w:lineRule="exact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60" w:lineRule="exact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316C8"/>
    <w:rsid w:val="3275064A"/>
    <w:rsid w:val="6C913C8A"/>
    <w:rsid w:val="71D54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2022-01-21T06:49:06Z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