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sz w:val="21"/>
                <w:szCs w:val="21"/>
              </w:rPr>
              <w:t>天津市金盛源特种建材有限公司</w:t>
            </w:r>
            <w:bookmarkEnd w:id="0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12.05.04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12.05.04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周文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原料添加→搅拌→储存→检验→包装出库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噪声、粉尘、火灾、固废、资源消耗。</w:t>
            </w:r>
            <w:r>
              <w:rPr>
                <w:rFonts w:hint="eastAsia"/>
                <w:b/>
                <w:sz w:val="20"/>
                <w:lang w:eastAsia="zh-CN"/>
              </w:rPr>
              <w:t>采取分类收集、管理方案和预案措施管理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中华人民共和国环境保护法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中华人民共和国固体废物污染环境防治法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中华人民共和国大气污染防治法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中华人民共和国水污染防治法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中华人民共和国环境影响评价法</w:t>
            </w:r>
            <w:r>
              <w:rPr>
                <w:rFonts w:hint="eastAsia"/>
                <w:b/>
                <w:sz w:val="20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需要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356870</wp:posOffset>
                  </wp:positionH>
                  <wp:positionV relativeFrom="paragraph">
                    <wp:posOffset>196215</wp:posOffset>
                  </wp:positionV>
                  <wp:extent cx="544830" cy="248920"/>
                  <wp:effectExtent l="0" t="0" r="3810" b="10160"/>
                  <wp:wrapNone/>
                  <wp:docPr id="8" name="图片 8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391160</wp:posOffset>
                  </wp:positionH>
                  <wp:positionV relativeFrom="paragraph">
                    <wp:posOffset>198120</wp:posOffset>
                  </wp:positionV>
                  <wp:extent cx="544830" cy="248920"/>
                  <wp:effectExtent l="0" t="0" r="3810" b="10160"/>
                  <wp:wrapNone/>
                  <wp:docPr id="1" name="图片 1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2022.5.18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1"/>
                <w:szCs w:val="21"/>
              </w:rPr>
              <w:t>天津市金盛源特种建材有限公司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12.05.04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12.05.04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原料添加→搅拌→储存→检验→包装出库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机械伤害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火灾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设备噪声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触电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粉尘</w:t>
            </w:r>
            <w:r>
              <w:rPr>
                <w:rFonts w:hint="eastAsia"/>
                <w:b/>
                <w:sz w:val="20"/>
                <w:lang w:eastAsia="zh-CN"/>
              </w:rPr>
              <w:t>。</w:t>
            </w:r>
            <w:r>
              <w:rPr>
                <w:rFonts w:hint="eastAsia"/>
                <w:b/>
                <w:sz w:val="20"/>
                <w:lang w:val="en-US" w:eastAsia="zh-CN"/>
              </w:rPr>
              <w:t>采取管理方案和预案措施管理。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中华人民共和国劳动合同法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中华人民共和国职业病防治法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中华人民共和国妇女权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益保障法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中华人民共和国安全生产法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劳动保障监察条例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女职工劳动保护特别规定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工作场所有害因素职业接触限值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工作场所职业卫生管理规定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需要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356870</wp:posOffset>
                  </wp:positionH>
                  <wp:positionV relativeFrom="paragraph">
                    <wp:posOffset>272415</wp:posOffset>
                  </wp:positionV>
                  <wp:extent cx="544830" cy="248920"/>
                  <wp:effectExtent l="0" t="0" r="3810" b="10160"/>
                  <wp:wrapNone/>
                  <wp:docPr id="3" name="图片 3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382270</wp:posOffset>
                  </wp:positionH>
                  <wp:positionV relativeFrom="paragraph">
                    <wp:posOffset>283210</wp:posOffset>
                  </wp:positionV>
                  <wp:extent cx="544830" cy="248920"/>
                  <wp:effectExtent l="0" t="0" r="3810" b="10160"/>
                  <wp:wrapNone/>
                  <wp:docPr id="4" name="图片 4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2022.5.18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1DBC2D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718</Words>
  <Characters>740</Characters>
  <Lines>2</Lines>
  <Paragraphs>1</Paragraphs>
  <TotalTime>0</TotalTime>
  <ScaleCrop>false</ScaleCrop>
  <LinksUpToDate>false</LinksUpToDate>
  <CharactersWithSpaces>744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2022-05-19T02:17:24Z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2052-11.1.0.11691</vt:lpwstr>
  </property>
</Properties>
</file>