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成都尊上伯乐文化传播有限公司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35.05.01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刘凤芝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35.05.01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广告设计流程图：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接到任务-需求分析-概要设计-详细设计-设计确认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广告制作流程图：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1、平面广告制作：接到任务-需求分析-概要设计-详细设计-设计确认-喷绘制作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2、视频广告制作：接到任务-前期计划-拍摄素材-内容制作-后期编辑-交付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需要确认的过程：设计过程；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主要控制方式：客户合同要求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民法典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、中华人民共和国劳动法、中华人民共和国质量法、中华人民共和国广告法、中华人民共和国著作权法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 xml:space="preserve">、城市户外广告设施技术规范 CJJ 149-2010 、户外钢结构独立柱广告牌  07SG526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B047F5B"/>
    <w:rsid w:val="11800151"/>
    <w:rsid w:val="1E276524"/>
    <w:rsid w:val="57B42486"/>
    <w:rsid w:val="59316522"/>
    <w:rsid w:val="67254250"/>
    <w:rsid w:val="75721FF0"/>
    <w:rsid w:val="7C0D1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2022-01-08T00:51:01Z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2052-11.1.0.11194</vt:lpwstr>
  </property>
</Properties>
</file>