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■FSMS ■HACCP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■监督（二）次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福建东方味王餐饮管理有限公司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食品安全小组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2022-03-13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提供的餐食、餐具、生产用水的安全性验证报告时间不符合《</w:t>
            </w:r>
            <w:r>
              <w:rPr>
                <w:rFonts w:hint="eastAsia" w:ascii="方正仿宋简体" w:eastAsia="方正仿宋简体"/>
                <w:b/>
              </w:rPr>
              <w:t>HACCP验证控制程序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》4.5条款每年一次的要求。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  <w:bookmarkStart w:id="19" w:name="_GoBack"/>
      <w:bookmarkEnd w:id="19"/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福建东方味王餐饮管理有限公司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食品安全小组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2022-03-13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查计量器具管理情况发现：</w:t>
            </w:r>
          </w:p>
          <w:p>
            <w:pPr>
              <w:numPr>
                <w:ilvl w:val="0"/>
                <w:numId w:val="1"/>
              </w:num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default" w:ascii="方正仿宋简体" w:eastAsia="方正仿宋简体"/>
                <w:b/>
                <w:lang w:val="en-US" w:eastAsia="zh-CN"/>
              </w:rPr>
              <w:t xml:space="preserve">电子秤(TCS-150)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，校准编号：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HK0721010828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，有效期至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2022.1.17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，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已过期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before="120" w:line="360" w:lineRule="auto"/>
              <w:ind w:left="0" w:leftChars="0" w:firstLine="0" w:firstLineChars="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default" w:ascii="方正仿宋简体" w:eastAsia="方正仿宋简体"/>
                <w:b/>
                <w:lang w:val="en-US" w:eastAsia="zh-CN"/>
              </w:rPr>
              <w:t>温度计（SW-301）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，校准编号：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 xml:space="preserve"> HK0721010829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，有效期至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2022.1.17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，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>已过期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0E7D7"/>
    <w:multiLevelType w:val="singleLevel"/>
    <w:tmpl w:val="0690E7D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321E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2022-02-13T06:12:31Z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