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1365-2021-QEO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河南省忠正绩效评价咨询有限公司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2022年05月09日 上午至2022年05月09日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河南省洛阳市洛龙区开元大道北怡和嘉园1幢1单元1-1801室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E:34.06.00</w:t>
            </w:r>
          </w:p>
          <w:p>
            <w:pPr>
              <w:spacing w:line="240" w:lineRule="exact"/>
              <w:jc w:val="center"/>
              <w:rPr>
                <w:b/>
                <w:color w:val="000000"/>
                <w:szCs w:val="21"/>
              </w:rPr>
            </w:pPr>
            <w:r>
              <w:rPr>
                <w:b/>
                <w:color w:val="000000"/>
                <w:szCs w:val="21"/>
              </w:rPr>
              <w:t>O:34.06.00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p>
            <w:pPr>
              <w:spacing w:line="240" w:lineRule="exact"/>
              <w:jc w:val="center"/>
              <w:rPr>
                <w:b/>
                <w:color w:val="000000"/>
                <w:szCs w:val="21"/>
              </w:rPr>
            </w:pPr>
            <w:r>
              <w:rPr>
                <w:b/>
                <w:color w:val="000000"/>
                <w:szCs w:val="21"/>
              </w:rPr>
              <w:t>2020-N1EMS-1263290</w:t>
            </w:r>
          </w:p>
          <w:p>
            <w:pPr>
              <w:spacing w:line="240" w:lineRule="exact"/>
              <w:jc w:val="center"/>
              <w:rPr>
                <w:b/>
                <w:color w:val="000000"/>
                <w:szCs w:val="21"/>
              </w:rPr>
            </w:pPr>
            <w:r>
              <w:rPr>
                <w:b/>
                <w:color w:val="000000"/>
                <w:szCs w:val="21"/>
              </w:rPr>
              <w:t>ISC[S]0372</w:t>
            </w:r>
          </w:p>
          <w:p>
            <w:pPr>
              <w:spacing w:line="240" w:lineRule="exact"/>
              <w:jc w:val="center"/>
              <w:rPr>
                <w:b/>
                <w:color w:val="000000"/>
                <w:szCs w:val="21"/>
              </w:rPr>
            </w:pPr>
            <w:r>
              <w:rPr>
                <w:b/>
                <w:color w:val="000000"/>
                <w:szCs w:val="21"/>
              </w:rPr>
              <w:t>北京国标联合认证有限公司</w:t>
            </w:r>
          </w:p>
        </w:tc>
        <w:tc>
          <w:tcPr>
            <w:tcW w:w="114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E:34.06.00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河南省忠正绩效评价咨询有限公司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河南省洛阳市洛龙区开元大道北怡和嘉园1幢1单元1-1801室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河南省洛阳市洛龙区开元大道北怡和嘉园1幢1单元1-1801室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471000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杨阳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18317520092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王亚东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刘宝全</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r>
              <w:rPr>
                <w:rFonts w:hint="eastAsia" w:ascii="宋体" w:hAnsi="宋体"/>
                <w:b/>
                <w:color w:val="000000"/>
                <w:szCs w:val="21"/>
              </w:rPr>
              <w:t>服务：</w:t>
            </w:r>
            <w:bookmarkStart w:id="35" w:name="审核范围"/>
            <w:r>
              <w:t>Q：运行效能评估服务（绩效评价）</w:t>
            </w:r>
          </w:p>
          <w:p>
            <w:r>
              <w:t>E：运行效能评估服务（绩效评价）所涉及场所的相关环境管理活动</w:t>
            </w:r>
          </w:p>
          <w:p>
            <w:pPr>
              <w:tabs>
                <w:tab w:val="left" w:pos="360"/>
              </w:tabs>
              <w:ind w:left="360" w:hanging="360"/>
              <w:rPr>
                <w:rFonts w:ascii="宋体" w:hAnsi="宋体"/>
                <w:b/>
                <w:color w:val="000000"/>
                <w:szCs w:val="21"/>
              </w:rPr>
            </w:pPr>
            <w:r>
              <w:t>O：运行效能评估服务（绩效评价）所涉及场所的相关职业健康安全管理活动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sz w:val="24"/>
                <w:szCs w:val="24"/>
              </w:rPr>
              <w:t>业务洽谈——签订合同——形成服务进度计划——现场勘查——收集相关资料——形成和提交成果报告——工作档案归档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运行效能评估服务（绩效评价）</w:t>
            </w:r>
          </w:p>
        </w:tc>
        <w:tc>
          <w:tcPr>
            <w:tcW w:w="2006" w:type="dxa"/>
            <w:gridSpan w:val="3"/>
            <w:vAlign w:val="center"/>
          </w:tcPr>
          <w:p>
            <w:pPr>
              <w:rPr>
                <w:rFonts w:ascii="宋体" w:hAnsi="宋体"/>
                <w:b/>
                <w:color w:val="000000"/>
                <w:szCs w:val="21"/>
              </w:rPr>
            </w:pPr>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运行效能评估服务（绩效评价）所涉及场所的相关环境管理活动</w:t>
            </w:r>
          </w:p>
        </w:tc>
        <w:tc>
          <w:tcPr>
            <w:tcW w:w="2006" w:type="dxa"/>
            <w:gridSpan w:val="3"/>
            <w:vAlign w:val="center"/>
          </w:tcPr>
          <w:p>
            <w:pPr>
              <w:rPr>
                <w:rFonts w:ascii="宋体" w:hAnsi="宋体" w:eastAsia="宋体" w:cs="Times New Roman"/>
                <w:b/>
                <w:color w:val="000000"/>
                <w:kern w:val="2"/>
                <w:sz w:val="21"/>
                <w:szCs w:val="21"/>
                <w:lang w:val="en-US" w:eastAsia="zh-CN" w:bidi="ar-SA"/>
              </w:rPr>
            </w:pPr>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运行效能评估服务（绩效评价）所涉及场所的相关职业健康安全管理活动</w:t>
            </w:r>
          </w:p>
        </w:tc>
        <w:tc>
          <w:tcPr>
            <w:tcW w:w="2006" w:type="dxa"/>
            <w:gridSpan w:val="3"/>
            <w:vAlign w:val="center"/>
          </w:tcPr>
          <w:p>
            <w:pPr>
              <w:rPr>
                <w:rFonts w:ascii="宋体" w:hAnsi="宋体" w:eastAsia="宋体" w:cs="Times New Roman"/>
                <w:b/>
                <w:color w:val="000000"/>
                <w:kern w:val="2"/>
                <w:sz w:val="21"/>
                <w:szCs w:val="21"/>
                <w:lang w:val="en-US" w:eastAsia="zh-CN" w:bidi="ar-SA"/>
              </w:rPr>
            </w:pPr>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754"/>
        <w:gridCol w:w="71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754"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71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河南省忠正绩效评价咨询有限公司</w:t>
            </w:r>
            <w:r>
              <w:rPr>
                <w:rFonts w:hint="eastAsia"/>
                <w:sz w:val="21"/>
                <w:szCs w:val="21"/>
                <w:lang w:val="en-US" w:eastAsia="zh-CN"/>
              </w:rPr>
              <w:t>/</w:t>
            </w:r>
            <w:r>
              <w:rPr>
                <w:sz w:val="21"/>
                <w:szCs w:val="21"/>
              </w:rPr>
              <w:t>河南省洛阳市洛龙区开元大道北怡和嘉园1幢1单元1-1801室</w:t>
            </w:r>
          </w:p>
        </w:tc>
        <w:tc>
          <w:tcPr>
            <w:tcW w:w="2267" w:type="dxa"/>
          </w:tcPr>
          <w:p>
            <w:pPr>
              <w:spacing w:before="40" w:after="40"/>
              <w:rPr>
                <w:rFonts w:eastAsia="黑体"/>
                <w:szCs w:val="21"/>
                <w:lang w:val="de-DE" w:eastAsia="ja-JP"/>
              </w:rPr>
            </w:pPr>
            <w:r>
              <w:rPr>
                <w:sz w:val="21"/>
                <w:szCs w:val="21"/>
              </w:rPr>
              <w:t>河南省洛阳市洛龙区开元大道北怡和嘉园1幢1单元1-1801室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6</w:t>
            </w:r>
          </w:p>
        </w:tc>
        <w:tc>
          <w:tcPr>
            <w:tcW w:w="2754" w:type="dxa"/>
            <w:vAlign w:val="center"/>
          </w:tcPr>
          <w:p>
            <w:r>
              <w:t>Q：运行效能评估服务（绩效评价）</w:t>
            </w:r>
          </w:p>
          <w:p>
            <w:r>
              <w:t>E：运行效能评估服务（绩效评价）所涉及场所的相关环境管理活动</w:t>
            </w:r>
          </w:p>
          <w:p>
            <w:pPr>
              <w:pStyle w:val="19"/>
              <w:rPr>
                <w:rFonts w:eastAsia="黑体" w:cs="Arial"/>
                <w:sz w:val="21"/>
                <w:szCs w:val="21"/>
                <w:lang w:val="en-US" w:eastAsia="ja-JP"/>
              </w:rPr>
            </w:pPr>
            <w:r>
              <w:t>O：运行效能评估服务（绩效评价）所涉及场所的相关职业健康安全管理活动</w:t>
            </w:r>
          </w:p>
        </w:tc>
        <w:tc>
          <w:tcPr>
            <w:tcW w:w="718"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b/>
                <w:sz w:val="21"/>
                <w:szCs w:val="21"/>
                <w:lang w:eastAsia="ja-JP"/>
              </w:rPr>
            </w:pP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河南省忠正绩效评价咨询有限公司</w:t>
            </w:r>
            <w:r>
              <w:rPr>
                <w:rFonts w:hint="eastAsia"/>
                <w:sz w:val="21"/>
                <w:szCs w:val="21"/>
                <w:lang w:val="en-US" w:eastAsia="zh-CN"/>
              </w:rPr>
              <w:t>/</w:t>
            </w:r>
            <w:r>
              <w:rPr>
                <w:sz w:val="21"/>
                <w:szCs w:val="21"/>
              </w:rPr>
              <w:t>河南省洛阳市洛龙区开元大道北怡和嘉园1幢1单元1-1801室</w:t>
            </w:r>
          </w:p>
        </w:tc>
        <w:tc>
          <w:tcPr>
            <w:tcW w:w="2267" w:type="dxa"/>
            <w:vAlign w:val="center"/>
          </w:tcPr>
          <w:p>
            <w:pPr>
              <w:spacing w:before="40" w:after="40"/>
              <w:rPr>
                <w:rFonts w:eastAsia="黑体"/>
                <w:szCs w:val="21"/>
                <w:lang w:eastAsia="ja-JP"/>
              </w:rPr>
            </w:pPr>
            <w:r>
              <w:rPr>
                <w:rFonts w:hint="eastAsia"/>
                <w:sz w:val="18"/>
                <w:szCs w:val="18"/>
              </w:rPr>
              <w:t>宜阳县洛河东段</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2</w:t>
            </w:r>
          </w:p>
        </w:tc>
        <w:tc>
          <w:tcPr>
            <w:tcW w:w="2754" w:type="dxa"/>
            <w:vAlign w:val="center"/>
          </w:tcPr>
          <w:p>
            <w:r>
              <w:t>Q：运行效能评估服务（绩效评价）</w:t>
            </w:r>
          </w:p>
          <w:p>
            <w:r>
              <w:t>E：运行效能评估服务（绩效评价）所涉及场所的相关环境管理活动</w:t>
            </w:r>
          </w:p>
          <w:p>
            <w:pPr>
              <w:pStyle w:val="19"/>
              <w:rPr>
                <w:rFonts w:ascii="Times New Roman" w:hAnsi="Times New Roman" w:eastAsia="黑体" w:cs="Arial"/>
                <w:kern w:val="2"/>
                <w:sz w:val="21"/>
                <w:szCs w:val="21"/>
                <w:lang w:val="en-US" w:eastAsia="ja-JP" w:bidi="ar-SA"/>
              </w:rPr>
            </w:pPr>
            <w:r>
              <w:t>O：运行效能评估服务（绩效评价）所涉及场所的相关职业健康安全管理活动</w:t>
            </w:r>
          </w:p>
        </w:tc>
        <w:tc>
          <w:tcPr>
            <w:tcW w:w="718"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sdt>
          <w:sdtPr>
            <w:rPr>
              <w:rFonts w:eastAsia="黑体"/>
              <w:szCs w:val="21"/>
            </w:rPr>
            <w:id w:val="1360237495"/>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754" w:type="dxa"/>
            <w:vAlign w:val="center"/>
          </w:tcPr>
          <w:p>
            <w:pPr>
              <w:spacing w:before="40" w:after="40"/>
              <w:rPr>
                <w:rFonts w:eastAsia="黑体"/>
                <w:szCs w:val="21"/>
                <w:lang w:eastAsia="ja-JP"/>
              </w:rPr>
            </w:pPr>
          </w:p>
        </w:tc>
        <w:tc>
          <w:tcPr>
            <w:tcW w:w="71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754" w:type="dxa"/>
            <w:vAlign w:val="center"/>
          </w:tcPr>
          <w:p>
            <w:pPr>
              <w:spacing w:before="40" w:after="40"/>
              <w:rPr>
                <w:rFonts w:eastAsia="黑体"/>
                <w:szCs w:val="21"/>
                <w:lang w:eastAsia="ja-JP"/>
              </w:rPr>
            </w:pPr>
          </w:p>
        </w:tc>
        <w:tc>
          <w:tcPr>
            <w:tcW w:w="718"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754" w:type="dxa"/>
            <w:vAlign w:val="center"/>
          </w:tcPr>
          <w:p>
            <w:pPr>
              <w:spacing w:before="40" w:after="40"/>
              <w:rPr>
                <w:rFonts w:eastAsia="黑体"/>
                <w:szCs w:val="21"/>
                <w:lang w:eastAsia="ja-JP"/>
              </w:rPr>
            </w:pPr>
          </w:p>
        </w:tc>
        <w:tc>
          <w:tcPr>
            <w:tcW w:w="718"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754" w:type="dxa"/>
            <w:vAlign w:val="center"/>
          </w:tcPr>
          <w:p>
            <w:pPr>
              <w:spacing w:before="40" w:after="40"/>
              <w:rPr>
                <w:rFonts w:eastAsia="黑体"/>
                <w:szCs w:val="21"/>
                <w:lang w:eastAsia="ja-JP"/>
              </w:rPr>
            </w:pPr>
          </w:p>
        </w:tc>
        <w:tc>
          <w:tcPr>
            <w:tcW w:w="718"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2021年6月20日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2021年12月2日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12.已根据策划于2021年12月17日完成管理评审，包括所有标准要求的输入和输出,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形成和提交成果报告</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运行</w:t>
            </w:r>
            <w:r>
              <w:rPr>
                <w:rFonts w:hint="eastAsia" w:ascii="宋体"/>
                <w:color w:val="000000"/>
                <w:spacing w:val="-10"/>
                <w:szCs w:val="21"/>
              </w:rPr>
              <w:t>效能评估服务过程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A3"/>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highlight w:val="yellow"/>
                <w:lang w:val="en-US" w:eastAsia="zh-CN"/>
              </w:rPr>
            </w:pPr>
            <w:r>
              <w:rPr>
                <w:rFonts w:hint="eastAsia" w:ascii="宋体"/>
                <w:b/>
                <w:color w:val="000000"/>
                <w:szCs w:val="21"/>
                <w:highlight w:val="none"/>
                <w:lang w:val="en-US" w:eastAsia="zh-CN"/>
              </w:rPr>
              <w:t>50min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2022-05-</w:t>
            </w:r>
            <w:bookmarkEnd w:id="36"/>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rPr>
          <w:rFonts w:hint="eastAsia" w:ascii="宋体" w:hAnsi="宋体"/>
          <w:b/>
          <w:color w:val="000000"/>
          <w:szCs w:val="21"/>
        </w:rPr>
      </w:pPr>
      <w:r>
        <w:rPr>
          <w:rFonts w:hint="eastAsia" w:ascii="宋体" w:hAnsi="宋体"/>
          <w:b/>
          <w:color w:val="000000"/>
          <w:szCs w:val="21"/>
        </w:rPr>
        <w:br w:type="page"/>
      </w:r>
    </w:p>
    <w:p>
      <w:pPr>
        <w:spacing w:before="156" w:beforeLines="50" w:line="360" w:lineRule="exact"/>
        <w:ind w:firstLine="211" w:firstLineChars="100"/>
        <w:rPr>
          <w:rFonts w:ascii="宋体" w:hAnsi="宋体"/>
          <w:b/>
          <w:color w:val="000000"/>
          <w:szCs w:val="21"/>
        </w:rPr>
      </w:pPr>
      <w:bookmarkStart w:id="37" w:name="_GoBack"/>
      <w:bookmarkEnd w:id="37"/>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运行效能评估服务（绩效评价）</w:t>
            </w:r>
          </w:p>
        </w:tc>
        <w:tc>
          <w:tcPr>
            <w:tcW w:w="1541" w:type="dxa"/>
            <w:vAlign w:val="center"/>
          </w:tcPr>
          <w:p>
            <w:pPr>
              <w:spacing w:line="400" w:lineRule="exact"/>
              <w:rPr>
                <w:rFonts w:ascii="宋体" w:hAnsi="宋体"/>
                <w:b/>
                <w:color w:val="000000"/>
                <w:szCs w:val="21"/>
              </w:rPr>
            </w:pPr>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运行效能评估服务（绩效评价）所涉及场所的相关环境管理活动</w:t>
            </w:r>
          </w:p>
        </w:tc>
        <w:tc>
          <w:tcPr>
            <w:tcW w:w="1541" w:type="dxa"/>
            <w:vAlign w:val="center"/>
          </w:tcPr>
          <w:p>
            <w:pPr>
              <w:spacing w:line="400" w:lineRule="exact"/>
              <w:rPr>
                <w:rFonts w:ascii="宋体" w:hAnsi="宋体"/>
                <w:b/>
                <w:color w:val="000000"/>
                <w:szCs w:val="21"/>
              </w:rPr>
            </w:pPr>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运行效能评估服务（绩效评价）所涉及场所的相关职业健康安全管理活动</w:t>
            </w:r>
          </w:p>
        </w:tc>
        <w:tc>
          <w:tcPr>
            <w:tcW w:w="1541" w:type="dxa"/>
            <w:vAlign w:val="center"/>
          </w:tcPr>
          <w:p>
            <w:pPr>
              <w:spacing w:line="400" w:lineRule="exact"/>
              <w:rPr>
                <w:rFonts w:ascii="宋体" w:hAnsi="宋体"/>
                <w:b/>
                <w:color w:val="000000"/>
                <w:szCs w:val="21"/>
              </w:rPr>
            </w:pPr>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1" locked="0" layoutInCell="1" allowOverlap="1">
            <wp:simplePos x="0" y="0"/>
            <wp:positionH relativeFrom="column">
              <wp:posOffset>3730625</wp:posOffset>
            </wp:positionH>
            <wp:positionV relativeFrom="paragraph">
              <wp:posOffset>299720</wp:posOffset>
            </wp:positionV>
            <wp:extent cx="498475" cy="414020"/>
            <wp:effectExtent l="0" t="0" r="0" b="13335"/>
            <wp:wrapNone/>
            <wp:docPr id="20" name="图片 20" descr="b23a53c60e28e219231d29ddde72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b23a53c60e28e219231d29ddde72bbe"/>
                    <pic:cNvPicPr>
                      <a:picLocks noChangeAspect="1"/>
                    </pic:cNvPicPr>
                  </pic:nvPicPr>
                  <pic:blipFill>
                    <a:blip r:embed="rId6"/>
                    <a:stretch>
                      <a:fillRect/>
                    </a:stretch>
                  </pic:blipFill>
                  <pic:spPr>
                    <a:xfrm>
                      <a:off x="0" y="0"/>
                      <a:ext cx="498475" cy="41402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1833245</wp:posOffset>
            </wp:positionH>
            <wp:positionV relativeFrom="paragraph">
              <wp:posOffset>292100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2022年5月9日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747395</wp:posOffset>
                  </wp:positionH>
                  <wp:positionV relativeFrom="paragraph">
                    <wp:posOffset>70485</wp:posOffset>
                  </wp:positionV>
                  <wp:extent cx="544830" cy="248920"/>
                  <wp:effectExtent l="0" t="0" r="3810" b="1016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2022年5月9日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556895</wp:posOffset>
                  </wp:positionH>
                  <wp:positionV relativeFrom="paragraph">
                    <wp:posOffset>60960</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2022年5月9日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08517310"/>
    <w:rsid w:val="0D066C30"/>
    <w:rsid w:val="12CB4E9F"/>
    <w:rsid w:val="1FA810B3"/>
    <w:rsid w:val="52BA3B63"/>
    <w:rsid w:val="5EB26312"/>
    <w:rsid w:val="7D664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5707</Words>
  <Characters>6489</Characters>
  <Lines>67</Lines>
  <Paragraphs>18</Paragraphs>
  <TotalTime>2</TotalTime>
  <ScaleCrop>false</ScaleCrop>
  <LinksUpToDate>false</LinksUpToDate>
  <CharactersWithSpaces>6569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2022-05-10T02:10:57Z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