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30"/>
          <w:szCs w:val="30"/>
          <w:u w:val="single"/>
        </w:rPr>
        <w:t>河北天安电气集团有限公司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0213-2020-2021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0213-2020-2021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691"/>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4" w:name="组织名称Add1"/>
            <w:r>
              <w:rPr>
                <w:rFonts w:cs="宋体" w:asciiTheme="minorEastAsia" w:hAnsiTheme="minorEastAsia"/>
                <w:kern w:val="0"/>
                <w:szCs w:val="21"/>
              </w:rPr>
              <w:t>河北天安电气集团有限公司</w:t>
            </w:r>
            <w:bookmarkEnd w:id="4"/>
          </w:p>
        </w:tc>
        <w:tc>
          <w:tcPr>
            <w:tcW w:w="169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561" w:type="dxa"/>
            <w:vAlign w:val="center"/>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bookmarkStart w:id="5" w:name="联系人"/>
            <w:r>
              <w:rPr>
                <w:rFonts w:cs="宋体" w:asciiTheme="minorEastAsia" w:hAnsiTheme="minorEastAsia"/>
                <w:kern w:val="0"/>
                <w:szCs w:val="21"/>
              </w:rPr>
              <w:t>藺敬峰</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vAlign w:val="center"/>
          </w:tcPr>
          <w:p>
            <w:pPr>
              <w:tabs>
                <w:tab w:val="left" w:pos="880"/>
              </w:tabs>
              <w:autoSpaceDE w:val="0"/>
              <w:autoSpaceDN w:val="0"/>
              <w:adjustRightInd w:val="0"/>
              <w:spacing w:before="35" w:line="276" w:lineRule="auto"/>
              <w:ind w:right="161"/>
              <w:jc w:val="center"/>
              <w:rPr>
                <w:rFonts w:hint="default" w:cs="宋体" w:asciiTheme="minorEastAsia" w:hAnsiTheme="minorEastAsia" w:eastAsiaTheme="minorEastAsia"/>
                <w:kern w:val="0"/>
                <w:szCs w:val="21"/>
                <w:highlight w:val="none"/>
                <w:lang w:val="en-US" w:eastAsia="zh-CN"/>
              </w:rPr>
            </w:pPr>
            <w:bookmarkStart w:id="6" w:name="证书编号"/>
            <w:bookmarkEnd w:id="6"/>
            <w:r>
              <w:rPr>
                <w:rFonts w:hint="eastAsia" w:cs="宋体" w:asciiTheme="minorEastAsia" w:hAnsiTheme="minorEastAsia"/>
                <w:kern w:val="0"/>
                <w:szCs w:val="21"/>
                <w:highlight w:val="none"/>
                <w:lang w:val="en-US" w:eastAsia="zh-CN"/>
              </w:rPr>
              <w:t>ISC-2020-0834</w:t>
            </w:r>
          </w:p>
        </w:tc>
        <w:tc>
          <w:tcPr>
            <w:tcW w:w="1691" w:type="dxa"/>
          </w:tcPr>
          <w:p>
            <w:pPr>
              <w:tabs>
                <w:tab w:val="left" w:pos="880"/>
              </w:tabs>
              <w:autoSpaceDE w:val="0"/>
              <w:autoSpaceDN w:val="0"/>
              <w:adjustRightInd w:val="0"/>
              <w:spacing w:before="35" w:line="276" w:lineRule="auto"/>
              <w:ind w:right="161"/>
              <w:rPr>
                <w:rFonts w:cs="宋体" w:asciiTheme="minorEastAsia" w:hAnsiTheme="minorEastAsia"/>
                <w:kern w:val="0"/>
                <w:szCs w:val="21"/>
                <w:highlight w:val="none"/>
              </w:rPr>
            </w:pPr>
            <w:r>
              <w:rPr>
                <w:rFonts w:hint="eastAsia" w:cs="宋体" w:asciiTheme="minorEastAsia" w:hAnsiTheme="minorEastAsia"/>
                <w:kern w:val="0"/>
                <w:szCs w:val="21"/>
                <w:highlight w:val="none"/>
              </w:rPr>
              <w:t>证书有效期</w:t>
            </w:r>
          </w:p>
        </w:tc>
        <w:tc>
          <w:tcPr>
            <w:tcW w:w="2561" w:type="dxa"/>
            <w:vAlign w:val="center"/>
          </w:tcPr>
          <w:p>
            <w:pPr>
              <w:tabs>
                <w:tab w:val="left" w:pos="880"/>
              </w:tabs>
              <w:autoSpaceDE w:val="0"/>
              <w:autoSpaceDN w:val="0"/>
              <w:adjustRightInd w:val="0"/>
              <w:spacing w:before="35" w:line="360" w:lineRule="auto"/>
              <w:ind w:right="161"/>
              <w:jc w:val="center"/>
              <w:rPr>
                <w:rFonts w:hint="default" w:cs="宋体" w:asciiTheme="minorEastAsia" w:hAnsiTheme="minorEastAsia" w:eastAsiaTheme="minorEastAsia"/>
                <w:kern w:val="0"/>
                <w:szCs w:val="21"/>
                <w:highlight w:val="none"/>
                <w:lang w:val="en-US" w:eastAsia="zh-CN"/>
              </w:rPr>
            </w:pPr>
            <w:bookmarkStart w:id="7" w:name="证书有效期"/>
            <w:bookmarkEnd w:id="7"/>
            <w:r>
              <w:rPr>
                <w:rFonts w:cs="宋体" w:asciiTheme="minorEastAsia" w:hAnsiTheme="minorEastAsia"/>
                <w:kern w:val="0"/>
                <w:szCs w:val="21"/>
              </w:rPr>
              <w:t>202</w:t>
            </w:r>
            <w:r>
              <w:rPr>
                <w:rFonts w:hint="eastAsia" w:cs="宋体" w:asciiTheme="minorEastAsia" w:hAnsiTheme="minorEastAsia"/>
                <w:kern w:val="0"/>
                <w:szCs w:val="21"/>
                <w:lang w:val="en-US" w:eastAsia="zh-CN"/>
              </w:rPr>
              <w:t>5</w:t>
            </w:r>
            <w:r>
              <w:rPr>
                <w:rFonts w:cs="宋体" w:asciiTheme="minorEastAsia" w:hAnsiTheme="minorEastAsia"/>
                <w:kern w:val="0"/>
                <w:szCs w:val="21"/>
              </w:rPr>
              <w:t>-</w:t>
            </w:r>
            <w:r>
              <w:rPr>
                <w:rFonts w:hint="eastAsia" w:cs="宋体" w:asciiTheme="minorEastAsia" w:hAnsiTheme="minorEastAsia"/>
                <w:kern w:val="0"/>
                <w:szCs w:val="21"/>
                <w:lang w:val="en-US" w:eastAsia="zh-CN"/>
              </w:rPr>
              <w:t>11</w:t>
            </w:r>
            <w:r>
              <w:rPr>
                <w:rFonts w:cs="宋体" w:asciiTheme="minorEastAsia" w:hAnsiTheme="minorEastAsia"/>
                <w:kern w:val="0"/>
                <w:szCs w:val="21"/>
              </w:rPr>
              <w:t>-</w:t>
            </w:r>
            <w:r>
              <w:rPr>
                <w:rFonts w:hint="eastAsia" w:cs="宋体" w:asciiTheme="minorEastAsia" w:hAnsiTheme="minorEastAsia"/>
                <w:kern w:val="0"/>
                <w:szCs w:val="21"/>
                <w:lang w:val="en-US" w:eastAsia="zh-CN"/>
              </w:rPr>
              <w:t>08</w:t>
            </w:r>
            <w:r>
              <w:rPr>
                <w:rFonts w:cs="宋体" w:asciiTheme="minorEastAsia" w:hAnsiTheme="minorEastAsia"/>
                <w:kern w:val="0"/>
                <w:szCs w:val="21"/>
              </w:rPr>
              <w:t xml:space="preserve">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69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561" w:type="dxa"/>
            <w:vAlign w:val="center"/>
          </w:tcPr>
          <w:p>
            <w:pPr>
              <w:tabs>
                <w:tab w:val="left" w:pos="880"/>
              </w:tabs>
              <w:autoSpaceDE w:val="0"/>
              <w:autoSpaceDN w:val="0"/>
              <w:adjustRightInd w:val="0"/>
              <w:spacing w:before="35" w:line="360" w:lineRule="auto"/>
              <w:ind w:right="161"/>
              <w:jc w:val="center"/>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2022年01月04日下午</w:t>
            </w:r>
            <w:bookmarkEnd w:id="9"/>
            <w:r>
              <w:rPr>
                <w:rFonts w:hint="eastAsia" w:cs="宋体" w:asciiTheme="minorEastAsia" w:hAnsiTheme="minorEastAsia"/>
                <w:kern w:val="0"/>
                <w:szCs w:val="21"/>
                <w:lang w:val="en-US" w:eastAsia="zh-CN"/>
              </w:rPr>
              <w:t>至2022年01月05日上午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vAlign w:val="center"/>
          </w:tcPr>
          <w:p>
            <w:pPr>
              <w:tabs>
                <w:tab w:val="left" w:pos="880"/>
              </w:tabs>
              <w:autoSpaceDE w:val="0"/>
              <w:autoSpaceDN w:val="0"/>
              <w:adjustRightInd w:val="0"/>
              <w:spacing w:before="35" w:line="276" w:lineRule="auto"/>
              <w:ind w:right="161" w:rightChars="0"/>
              <w:jc w:val="center"/>
              <w:rPr>
                <w:rFonts w:cs="宋体" w:asciiTheme="minorEastAsia" w:hAnsiTheme="minorEastAsia" w:eastAsiaTheme="minorEastAsia"/>
                <w:kern w:val="0"/>
                <w:sz w:val="21"/>
                <w:szCs w:val="21"/>
                <w:lang w:val="en-US" w:eastAsia="zh-CN" w:bidi="ar-SA"/>
              </w:rPr>
            </w:pPr>
            <w:r>
              <w:rPr>
                <w:rFonts w:hint="default" w:ascii="Times New Roman" w:hAnsi="Times New Roman" w:eastAsia="宋体" w:cs="Times New Roman"/>
                <w:sz w:val="21"/>
                <w:szCs w:val="21"/>
              </w:rPr>
              <w:t>刘复荣ISC[S]0376</w:t>
            </w:r>
          </w:p>
        </w:tc>
        <w:tc>
          <w:tcPr>
            <w:tcW w:w="1691" w:type="dxa"/>
            <w:vAlign w:val="center"/>
          </w:tcPr>
          <w:p>
            <w:pPr>
              <w:tabs>
                <w:tab w:val="left" w:pos="880"/>
              </w:tabs>
              <w:autoSpaceDE w:val="0"/>
              <w:autoSpaceDN w:val="0"/>
              <w:adjustRightInd w:val="0"/>
              <w:spacing w:before="35" w:line="276" w:lineRule="auto"/>
              <w:ind w:right="161" w:rightChars="0"/>
              <w:jc w:val="left"/>
              <w:rPr>
                <w:rFonts w:cs="宋体" w:asciiTheme="minorEastAsia" w:hAnsiTheme="minorEastAsia" w:eastAsiaTheme="minorEastAsia"/>
                <w:kern w:val="0"/>
                <w:sz w:val="21"/>
                <w:szCs w:val="21"/>
                <w:lang w:val="en-US" w:eastAsia="zh-CN" w:bidi="ar-SA"/>
              </w:rPr>
            </w:pPr>
            <w:r>
              <w:rPr>
                <w:rFonts w:cs="宋体" w:asciiTheme="minorEastAsia" w:hAnsiTheme="minorEastAsia"/>
                <w:bCs/>
                <w:kern w:val="0"/>
                <w:szCs w:val="21"/>
              </w:rPr>
              <w:t>监督审核涉及的区域或部门</w:t>
            </w:r>
          </w:p>
        </w:tc>
        <w:tc>
          <w:tcPr>
            <w:tcW w:w="2561" w:type="dxa"/>
            <w:vAlign w:val="center"/>
          </w:tcPr>
          <w:p>
            <w:pPr>
              <w:jc w:val="center"/>
              <w:rPr>
                <w:rFonts w:hint="eastAsia"/>
                <w:sz w:val="21"/>
                <w:szCs w:val="21"/>
                <w:lang w:val="en-US" w:eastAsia="zh-CN"/>
              </w:rPr>
            </w:pPr>
            <w:r>
              <w:rPr>
                <w:rFonts w:hint="default" w:ascii="Times New Roman" w:hAnsi="Times New Roman" w:eastAsia="宋体" w:cs="Times New Roman"/>
                <w:color w:val="auto"/>
                <w:sz w:val="21"/>
                <w:szCs w:val="21"/>
              </w:rPr>
              <w:t>管理层</w:t>
            </w:r>
            <w:r>
              <w:rPr>
                <w:rFonts w:hint="eastAsia" w:ascii="Times New Roman" w:hAnsi="Times New Roman" w:eastAsia="宋体" w:cs="Times New Roman"/>
                <w:color w:val="auto"/>
                <w:sz w:val="21"/>
                <w:szCs w:val="21"/>
                <w:lang w:eastAsia="zh-CN"/>
              </w:rPr>
              <w:t>、</w:t>
            </w:r>
            <w:r>
              <w:rPr>
                <w:rFonts w:hint="eastAsia"/>
                <w:sz w:val="21"/>
                <w:szCs w:val="21"/>
                <w:lang w:val="en-US" w:eastAsia="zh-CN"/>
              </w:rPr>
              <w:t>生产部、质检部、</w:t>
            </w:r>
          </w:p>
          <w:p>
            <w:pPr>
              <w:jc w:val="center"/>
              <w:rPr>
                <w:rFonts w:cs="宋体" w:asciiTheme="minorEastAsia" w:hAnsiTheme="minorEastAsia" w:eastAsiaTheme="minorEastAsia"/>
                <w:kern w:val="0"/>
                <w:sz w:val="21"/>
                <w:szCs w:val="21"/>
                <w:lang w:val="en-US" w:eastAsia="zh-CN" w:bidi="ar-SA"/>
              </w:rPr>
            </w:pPr>
            <w:r>
              <w:rPr>
                <w:rFonts w:hint="eastAsia"/>
                <w:sz w:val="21"/>
                <w:szCs w:val="21"/>
                <w:lang w:val="en-US" w:eastAsia="zh-CN"/>
              </w:rPr>
              <w:t>办公室、采购销售部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kinsoku/>
        <w:wordWrap/>
        <w:overflowPunct/>
        <w:topLinePunct w:val="0"/>
        <w:autoSpaceDE/>
        <w:autoSpaceDN/>
        <w:bidi w:val="0"/>
        <w:adjustRightInd/>
        <w:spacing w:line="336" w:lineRule="auto"/>
        <w:textAlignment w:val="auto"/>
        <w:rPr>
          <w:rFonts w:cs="宋体" w:asciiTheme="minorEastAsia" w:hAnsiTheme="minorEastAsia"/>
          <w:b/>
          <w:bCs w:val="0"/>
          <w:kern w:val="0"/>
          <w:szCs w:val="21"/>
        </w:rPr>
      </w:pPr>
      <w:r>
        <w:rPr>
          <w:rFonts w:hint="eastAsia" w:cs="宋体" w:asciiTheme="minorEastAsia" w:hAnsiTheme="minorEastAsia"/>
          <w:b/>
          <w:bCs w:val="0"/>
          <w:kern w:val="0"/>
          <w:szCs w:val="21"/>
        </w:rPr>
        <w:t>1.</w:t>
      </w:r>
      <w:r>
        <w:rPr>
          <w:rFonts w:cs="宋体" w:asciiTheme="minorEastAsia" w:hAnsiTheme="minorEastAsia"/>
          <w:b/>
          <w:bCs w:val="0"/>
          <w:kern w:val="0"/>
          <w:szCs w:val="21"/>
        </w:rPr>
        <w:t>一年内违反法律法规</w:t>
      </w:r>
      <w:r>
        <w:rPr>
          <w:rFonts w:hint="eastAsia" w:cs="宋体" w:asciiTheme="minorEastAsia" w:hAnsiTheme="minorEastAsia"/>
          <w:b/>
          <w:bCs w:val="0"/>
          <w:kern w:val="0"/>
          <w:szCs w:val="21"/>
        </w:rPr>
        <w:t>或</w:t>
      </w:r>
      <w:r>
        <w:rPr>
          <w:rFonts w:cs="宋体" w:asciiTheme="minorEastAsia" w:hAnsiTheme="minorEastAsia"/>
          <w:b/>
          <w:bCs w:val="0"/>
          <w:kern w:val="0"/>
          <w:szCs w:val="21"/>
        </w:rPr>
        <w:t>重大事故的情况：</w:t>
      </w:r>
    </w:p>
    <w:p>
      <w:pPr>
        <w:keepNext w:val="0"/>
        <w:keepLines w:val="0"/>
        <w:pageBreakBefore w:val="0"/>
        <w:kinsoku/>
        <w:wordWrap/>
        <w:overflowPunct/>
        <w:topLinePunct w:val="0"/>
        <w:autoSpaceDE/>
        <w:autoSpaceDN/>
        <w:bidi w:val="0"/>
        <w:adjustRightInd/>
        <w:spacing w:line="336" w:lineRule="auto"/>
        <w:ind w:firstLine="420" w:firstLineChars="200"/>
        <w:textAlignment w:val="auto"/>
        <w:rPr>
          <w:rFonts w:ascii="宋体" w:hAnsi="宋体"/>
          <w:color w:val="auto"/>
          <w:kern w:val="24"/>
          <w:szCs w:val="21"/>
        </w:rPr>
      </w:pPr>
      <w:r>
        <w:rPr>
          <w:rFonts w:hint="eastAsia" w:ascii="宋体" w:hAnsi="宋体" w:cs="宋体"/>
          <w:bCs/>
          <w:color w:val="auto"/>
          <w:kern w:val="0"/>
          <w:szCs w:val="21"/>
          <w:lang w:val="en-US" w:eastAsia="zh-CN"/>
        </w:rPr>
        <w:t>上年度认证审核</w:t>
      </w:r>
      <w:r>
        <w:rPr>
          <w:rFonts w:hint="eastAsia" w:ascii="宋体" w:hAnsi="宋体" w:cs="宋体"/>
          <w:bCs/>
          <w:color w:val="auto"/>
          <w:kern w:val="0"/>
          <w:szCs w:val="21"/>
        </w:rPr>
        <w:t>至今，公司日常运行中生产经营平稳，企业未有违反法律、法规问题和产品质量问题的投诉或重大质量事故发生。</w:t>
      </w:r>
      <w:r>
        <w:rPr>
          <w:rFonts w:hint="eastAsia" w:ascii="宋体" w:hAnsi="宋体" w:cs="宋体"/>
          <w:bCs/>
          <w:color w:val="auto"/>
          <w:kern w:val="0"/>
          <w:szCs w:val="21"/>
          <w:highlight w:val="none"/>
        </w:rPr>
        <w:t>企业营业执照等资质未发生变化。</w:t>
      </w:r>
      <w:r>
        <w:rPr>
          <w:rFonts w:hint="eastAsia" w:ascii="宋体" w:hAnsi="宋体" w:cs="宋体"/>
          <w:bCs/>
          <w:color w:val="auto"/>
          <w:kern w:val="0"/>
          <w:szCs w:val="21"/>
          <w:lang w:val="en-US" w:eastAsia="zh-CN"/>
        </w:rPr>
        <w:t>对</w:t>
      </w:r>
      <w:r>
        <w:rPr>
          <w:rFonts w:hint="eastAsia" w:ascii="宋体" w:hAnsi="宋体"/>
          <w:color w:val="auto"/>
          <w:kern w:val="24"/>
          <w:szCs w:val="21"/>
        </w:rPr>
        <w:t>公司一年来</w:t>
      </w:r>
      <w:r>
        <w:rPr>
          <w:rFonts w:hint="eastAsia" w:ascii="宋体" w:hAnsi="宋体"/>
          <w:color w:val="auto"/>
          <w:kern w:val="24"/>
          <w:szCs w:val="21"/>
          <w:lang w:val="en-US" w:eastAsia="zh-CN"/>
        </w:rPr>
        <w:t>的</w:t>
      </w:r>
      <w:r>
        <w:rPr>
          <w:rFonts w:hint="eastAsia" w:ascii="宋体" w:hAnsi="宋体"/>
          <w:color w:val="auto"/>
          <w:kern w:val="24"/>
          <w:szCs w:val="21"/>
        </w:rPr>
        <w:t>重点工作</w:t>
      </w:r>
      <w:r>
        <w:rPr>
          <w:rFonts w:hint="eastAsia" w:ascii="宋体" w:hAnsi="宋体"/>
          <w:color w:val="auto"/>
          <w:kern w:val="24"/>
          <w:szCs w:val="21"/>
          <w:lang w:val="en-US" w:eastAsia="zh-CN"/>
        </w:rPr>
        <w:t>进行审核</w:t>
      </w:r>
      <w:r>
        <w:rPr>
          <w:rFonts w:hint="eastAsia" w:ascii="宋体" w:hAnsi="宋体"/>
          <w:color w:val="auto"/>
          <w:kern w:val="24"/>
          <w:szCs w:val="21"/>
        </w:rPr>
        <w:t>：</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kern w:val="0"/>
        </w:rPr>
      </w:pPr>
      <w:r>
        <w:rPr>
          <w:rFonts w:hint="default" w:ascii="Times New Roman" w:hAnsi="Times New Roman" w:eastAsia="宋体" w:cs="Times New Roman"/>
          <w:bCs/>
          <w:kern w:val="0"/>
          <w:sz w:val="21"/>
          <w:szCs w:val="21"/>
        </w:rPr>
        <w:t>为有效评</w:t>
      </w:r>
      <w:r>
        <w:rPr>
          <w:rFonts w:hint="default" w:ascii="Times New Roman" w:hAnsi="Times New Roman" w:eastAsia="宋体" w:cs="Times New Roman"/>
          <w:bCs/>
          <w:kern w:val="0"/>
          <w:sz w:val="21"/>
          <w:szCs w:val="21"/>
          <w:u w:val="none"/>
        </w:rPr>
        <w:t>价</w:t>
      </w:r>
      <w:r>
        <w:rPr>
          <w:rFonts w:cs="宋体" w:asciiTheme="minorEastAsia" w:hAnsiTheme="minorEastAsia"/>
          <w:kern w:val="0"/>
          <w:szCs w:val="21"/>
        </w:rPr>
        <w:t>河北天安电气集团有限公司</w:t>
      </w:r>
      <w:r>
        <w:rPr>
          <w:rFonts w:hint="default" w:ascii="Times New Roman" w:hAnsi="Times New Roman" w:eastAsia="宋体" w:cs="Times New Roman"/>
          <w:bCs/>
          <w:kern w:val="0"/>
          <w:sz w:val="21"/>
          <w:szCs w:val="21"/>
          <w:u w:val="none"/>
        </w:rPr>
        <w:t>测</w:t>
      </w:r>
      <w:r>
        <w:rPr>
          <w:rFonts w:hint="default" w:ascii="Times New Roman" w:hAnsi="Times New Roman" w:eastAsia="宋体" w:cs="Times New Roman"/>
          <w:bCs/>
          <w:kern w:val="0"/>
          <w:sz w:val="21"/>
          <w:szCs w:val="21"/>
        </w:rPr>
        <w:t>量管理体系</w:t>
      </w:r>
      <w:r>
        <w:rPr>
          <w:rFonts w:hint="default" w:ascii="Times New Roman" w:hAnsi="Times New Roman" w:eastAsia="宋体" w:cs="Times New Roman"/>
          <w:bCs/>
          <w:kern w:val="0"/>
          <w:sz w:val="21"/>
          <w:szCs w:val="21"/>
          <w:lang w:val="en-US" w:eastAsia="zh-CN"/>
        </w:rPr>
        <w:t>自</w:t>
      </w:r>
      <w:r>
        <w:rPr>
          <w:rFonts w:hint="eastAsia" w:ascii="Times New Roman" w:hAnsi="Times New Roman" w:eastAsia="宋体" w:cs="Times New Roman"/>
          <w:bCs/>
          <w:kern w:val="0"/>
          <w:sz w:val="21"/>
          <w:szCs w:val="21"/>
          <w:lang w:val="en-US" w:eastAsia="zh-CN"/>
        </w:rPr>
        <w:t>认证</w:t>
      </w:r>
      <w:r>
        <w:rPr>
          <w:rFonts w:hint="default" w:ascii="Times New Roman" w:hAnsi="Times New Roman" w:eastAsia="宋体" w:cs="Times New Roman"/>
          <w:bCs/>
          <w:kern w:val="0"/>
          <w:sz w:val="21"/>
          <w:szCs w:val="21"/>
          <w:lang w:val="en-US" w:eastAsia="zh-CN"/>
        </w:rPr>
        <w:t>审核后</w:t>
      </w:r>
      <w:r>
        <w:rPr>
          <w:rFonts w:hint="default" w:ascii="Times New Roman" w:hAnsi="Times New Roman" w:eastAsia="宋体" w:cs="Times New Roman"/>
          <w:bCs/>
          <w:kern w:val="0"/>
          <w:sz w:val="21"/>
          <w:szCs w:val="21"/>
        </w:rPr>
        <w:t>一年以来</w:t>
      </w:r>
      <w:r>
        <w:rPr>
          <w:rFonts w:hint="default" w:ascii="Times New Roman" w:hAnsi="Times New Roman" w:eastAsia="宋体" w:cs="Times New Roman"/>
          <w:bCs/>
          <w:kern w:val="0"/>
          <w:sz w:val="21"/>
          <w:szCs w:val="21"/>
          <w:lang w:val="en-US" w:eastAsia="zh-CN"/>
        </w:rPr>
        <w:t>的</w:t>
      </w:r>
      <w:r>
        <w:rPr>
          <w:rFonts w:hint="default" w:ascii="Times New Roman" w:hAnsi="Times New Roman" w:eastAsia="宋体" w:cs="Times New Roman"/>
          <w:bCs/>
          <w:kern w:val="0"/>
          <w:sz w:val="21"/>
          <w:szCs w:val="21"/>
        </w:rPr>
        <w:t>运行情况，抽查了</w:t>
      </w:r>
      <w:r>
        <w:rPr>
          <w:rFonts w:hint="default" w:ascii="Times New Roman" w:hAnsi="Times New Roman" w:eastAsia="宋体" w:cs="Times New Roman"/>
          <w:bCs/>
          <w:kern w:val="0"/>
          <w:sz w:val="21"/>
          <w:szCs w:val="21"/>
          <w:lang w:val="en-US" w:eastAsia="zh-CN"/>
        </w:rPr>
        <w:t>企业</w:t>
      </w:r>
      <w:r>
        <w:rPr>
          <w:rFonts w:hint="default" w:ascii="Times New Roman" w:hAnsi="Times New Roman" w:eastAsia="宋体" w:cs="Times New Roman"/>
          <w:bCs/>
          <w:kern w:val="0"/>
          <w:sz w:val="21"/>
          <w:szCs w:val="21"/>
        </w:rPr>
        <w:t>测量管理体系内</w:t>
      </w:r>
      <w:r>
        <w:rPr>
          <w:rFonts w:hint="default" w:ascii="Times New Roman" w:hAnsi="Times New Roman" w:eastAsia="宋体" w:cs="Times New Roman"/>
          <w:bCs/>
          <w:color w:val="auto"/>
          <w:kern w:val="0"/>
          <w:sz w:val="21"/>
          <w:szCs w:val="21"/>
          <w:lang w:val="en-US" w:eastAsia="zh-CN"/>
        </w:rPr>
        <w:t>的</w:t>
      </w:r>
      <w:r>
        <w:rPr>
          <w:rFonts w:hint="eastAsia" w:ascii="Times New Roman" w:hAnsi="Times New Roman" w:eastAsia="宋体" w:cs="Times New Roman"/>
          <w:bCs/>
          <w:color w:val="auto"/>
          <w:kern w:val="0"/>
          <w:sz w:val="21"/>
          <w:szCs w:val="21"/>
          <w:lang w:val="en-US" w:eastAsia="zh-CN"/>
        </w:rPr>
        <w:t>4</w:t>
      </w:r>
      <w:r>
        <w:rPr>
          <w:rFonts w:hint="default" w:ascii="Times New Roman" w:hAnsi="Times New Roman" w:eastAsia="宋体" w:cs="Times New Roman"/>
          <w:bCs/>
          <w:color w:val="auto"/>
          <w:kern w:val="0"/>
          <w:sz w:val="21"/>
          <w:szCs w:val="21"/>
          <w:lang w:val="en-US" w:eastAsia="zh-CN"/>
        </w:rPr>
        <w:t>个职能部</w:t>
      </w:r>
      <w:r>
        <w:rPr>
          <w:rFonts w:hint="default" w:ascii="Times New Roman" w:hAnsi="Times New Roman" w:eastAsia="宋体" w:cs="Times New Roman"/>
          <w:bCs/>
          <w:kern w:val="0"/>
          <w:sz w:val="21"/>
          <w:szCs w:val="21"/>
          <w:lang w:val="en-US" w:eastAsia="zh-CN"/>
        </w:rPr>
        <w:t>门，覆盖了企业</w:t>
      </w:r>
      <w:r>
        <w:rPr>
          <w:rFonts w:hint="default" w:ascii="Times New Roman" w:hAnsi="Times New Roman" w:eastAsia="宋体" w:cs="Times New Roman"/>
          <w:bCs/>
          <w:kern w:val="0"/>
          <w:sz w:val="21"/>
          <w:szCs w:val="21"/>
        </w:rPr>
        <w:t>管理、生产、经营、质量和环境等方面</w:t>
      </w:r>
      <w:r>
        <w:rPr>
          <w:rFonts w:hint="default" w:ascii="Times New Roman" w:hAnsi="Times New Roman" w:eastAsia="宋体" w:cs="Times New Roman"/>
          <w:bCs/>
          <w:kern w:val="0"/>
          <w:sz w:val="21"/>
          <w:szCs w:val="21"/>
          <w:lang w:eastAsia="zh-CN"/>
        </w:rPr>
        <w:t>。</w:t>
      </w:r>
      <w:r>
        <w:rPr>
          <w:rFonts w:hint="default" w:ascii="Times New Roman" w:hAnsi="Times New Roman" w:eastAsia="宋体" w:cs="Times New Roman"/>
          <w:bCs/>
          <w:kern w:val="0"/>
          <w:sz w:val="21"/>
          <w:szCs w:val="21"/>
        </w:rPr>
        <w:t>企业的能源计量器具的配备率及准确度等级均满足GB17167-2006标准要求</w:t>
      </w:r>
      <w:r>
        <w:rPr>
          <w:rFonts w:hint="default" w:ascii="Times New Roman" w:hAnsi="Times New Roman" w:eastAsia="宋体" w:cs="Times New Roman"/>
          <w:bCs/>
          <w:kern w:val="0"/>
          <w:sz w:val="21"/>
          <w:szCs w:val="21"/>
          <w:lang w:eastAsia="zh-CN"/>
        </w:rPr>
        <w:t>，</w:t>
      </w:r>
      <w:r>
        <w:rPr>
          <w:rFonts w:hint="default" w:ascii="Times New Roman" w:hAnsi="Times New Roman" w:eastAsia="宋体" w:cs="Times New Roman"/>
          <w:bCs/>
          <w:kern w:val="0"/>
          <w:sz w:val="21"/>
          <w:szCs w:val="21"/>
        </w:rPr>
        <w:t>企业不是重点</w:t>
      </w:r>
      <w:r>
        <w:rPr>
          <w:rFonts w:hint="default" w:ascii="Times New Roman" w:hAnsi="Times New Roman" w:eastAsia="宋体" w:cs="Times New Roman"/>
          <w:bCs/>
          <w:kern w:val="0"/>
          <w:sz w:val="21"/>
          <w:szCs w:val="21"/>
          <w:lang w:val="en-US" w:eastAsia="zh-CN"/>
        </w:rPr>
        <w:t>耗</w:t>
      </w:r>
      <w:r>
        <w:rPr>
          <w:rFonts w:hint="default" w:ascii="Times New Roman" w:hAnsi="Times New Roman" w:eastAsia="宋体" w:cs="Times New Roman"/>
          <w:bCs/>
          <w:kern w:val="0"/>
          <w:sz w:val="21"/>
          <w:szCs w:val="21"/>
        </w:rPr>
        <w:t>能单位</w:t>
      </w:r>
      <w:r>
        <w:rPr>
          <w:rFonts w:hint="default" w:ascii="Times New Roman" w:hAnsi="Times New Roman" w:eastAsia="宋体" w:cs="Times New Roman"/>
          <w:bCs/>
          <w:kern w:val="0"/>
          <w:sz w:val="21"/>
          <w:szCs w:val="21"/>
          <w:lang w:eastAsia="zh-CN"/>
        </w:rPr>
        <w:t>；</w:t>
      </w:r>
      <w:r>
        <w:rPr>
          <w:rFonts w:hint="default" w:ascii="Times New Roman" w:hAnsi="Times New Roman" w:eastAsia="宋体" w:cs="Times New Roman"/>
          <w:bCs/>
          <w:kern w:val="0"/>
          <w:sz w:val="21"/>
          <w:szCs w:val="21"/>
        </w:rPr>
        <w:t>重点抽查</w:t>
      </w:r>
      <w:r>
        <w:rPr>
          <w:rFonts w:hint="default" w:ascii="Times New Roman" w:hAnsi="Times New Roman" w:eastAsia="宋体" w:cs="Times New Roman"/>
          <w:sz w:val="21"/>
          <w:szCs w:val="21"/>
        </w:rPr>
        <w:t>了</w:t>
      </w:r>
      <w:r>
        <w:rPr>
          <w:rFonts w:hint="default" w:ascii="Times New Roman" w:hAnsi="Times New Roman" w:eastAsia="宋体" w:cs="Times New Roman"/>
          <w:sz w:val="21"/>
          <w:szCs w:val="21"/>
          <w:lang w:eastAsia="zh-CN"/>
        </w:rPr>
        <w:t>企业</w:t>
      </w:r>
      <w:r>
        <w:rPr>
          <w:rFonts w:hint="default" w:ascii="Times New Roman" w:hAnsi="Times New Roman" w:eastAsia="宋体" w:cs="Times New Roman"/>
          <w:sz w:val="21"/>
          <w:szCs w:val="21"/>
        </w:rPr>
        <w:t>计量特征突出的重要环节</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覆盖了主要原材料检验、生产工艺质量控制、产品出厂性能检测以及量值溯源系统</w:t>
      </w:r>
      <w:r>
        <w:rPr>
          <w:rFonts w:hint="default" w:ascii="Times New Roman" w:hAnsi="Times New Roman" w:eastAsia="宋体" w:cs="Times New Roman"/>
          <w:bCs/>
          <w:kern w:val="0"/>
          <w:sz w:val="21"/>
          <w:szCs w:val="21"/>
        </w:rPr>
        <w:t>，同时，跟踪验证了该</w:t>
      </w:r>
      <w:r>
        <w:rPr>
          <w:rFonts w:hint="default" w:ascii="Times New Roman" w:hAnsi="Times New Roman" w:eastAsia="宋体" w:cs="Times New Roman"/>
          <w:bCs/>
          <w:kern w:val="0"/>
          <w:sz w:val="21"/>
          <w:szCs w:val="21"/>
          <w:lang w:eastAsia="zh-CN"/>
        </w:rPr>
        <w:t>企业</w:t>
      </w:r>
      <w:r>
        <w:rPr>
          <w:rFonts w:hint="default" w:ascii="Times New Roman" w:hAnsi="Times New Roman" w:eastAsia="宋体" w:cs="Times New Roman"/>
          <w:bCs/>
          <w:kern w:val="0"/>
          <w:sz w:val="21"/>
          <w:szCs w:val="21"/>
        </w:rPr>
        <w:t>在</w:t>
      </w:r>
      <w:r>
        <w:rPr>
          <w:rFonts w:hint="default" w:ascii="Times New Roman" w:hAnsi="Times New Roman" w:eastAsia="宋体" w:cs="Times New Roman"/>
          <w:bCs/>
          <w:kern w:val="0"/>
          <w:sz w:val="21"/>
          <w:szCs w:val="21"/>
          <w:lang w:val="en-US" w:eastAsia="zh-CN"/>
        </w:rPr>
        <w:t>一年来</w:t>
      </w:r>
      <w:r>
        <w:rPr>
          <w:rFonts w:hint="default" w:ascii="Times New Roman" w:hAnsi="Times New Roman" w:eastAsia="宋体" w:cs="Times New Roman"/>
          <w:bCs/>
          <w:kern w:val="0"/>
          <w:sz w:val="21"/>
          <w:szCs w:val="21"/>
        </w:rPr>
        <w:t>对体系的运行监视、分析完善和持续改进等工作情况。</w:t>
      </w:r>
      <w:r>
        <w:rPr>
          <w:rFonts w:hint="default" w:ascii="Times New Roman" w:hAnsi="Times New Roman" w:eastAsia="宋体" w:cs="Times New Roman"/>
          <w:bCs/>
          <w:kern w:val="0"/>
          <w:sz w:val="21"/>
          <w:szCs w:val="21"/>
          <w:lang w:eastAsia="zh-CN"/>
        </w:rPr>
        <w:t>企业</w:t>
      </w:r>
      <w:r>
        <w:rPr>
          <w:rFonts w:hint="default" w:ascii="Times New Roman" w:hAnsi="Times New Roman" w:eastAsia="宋体" w:cs="Times New Roman"/>
          <w:bCs/>
          <w:kern w:val="0"/>
          <w:sz w:val="21"/>
          <w:szCs w:val="21"/>
        </w:rPr>
        <w:t>测量管理体系的符合性、有效性及持续改进，符合GB/T 19022-2003标准要求，</w:t>
      </w:r>
      <w:r>
        <w:rPr>
          <w:rFonts w:hint="default" w:ascii="Times New Roman" w:hAnsi="Times New Roman" w:eastAsia="宋体" w:cs="Times New Roman"/>
          <w:bCs/>
          <w:kern w:val="0"/>
          <w:sz w:val="21"/>
          <w:szCs w:val="21"/>
          <w:lang w:eastAsia="zh-CN"/>
        </w:rPr>
        <w:t>企业</w:t>
      </w:r>
      <w:r>
        <w:rPr>
          <w:rFonts w:hint="default" w:ascii="Times New Roman" w:hAnsi="Times New Roman" w:eastAsia="宋体" w:cs="Times New Roman"/>
          <w:bCs/>
          <w:kern w:val="0"/>
          <w:sz w:val="21"/>
          <w:szCs w:val="21"/>
        </w:rPr>
        <w:t>测量管理体系正常有</w:t>
      </w:r>
      <w:r>
        <w:rPr>
          <w:rFonts w:hint="default" w:ascii="Times New Roman" w:hAnsi="Times New Roman" w:eastAsia="宋体" w:cs="Times New Roman"/>
          <w:bCs/>
          <w:kern w:val="0"/>
          <w:sz w:val="21"/>
          <w:szCs w:val="21"/>
          <w:lang w:val="en-US" w:eastAsia="zh-CN"/>
        </w:rPr>
        <w:t>效</w:t>
      </w:r>
      <w:r>
        <w:rPr>
          <w:rFonts w:hint="default" w:ascii="Times New Roman" w:hAnsi="Times New Roman" w:eastAsia="宋体" w:cs="Times New Roman"/>
          <w:bCs/>
          <w:kern w:val="0"/>
          <w:sz w:val="21"/>
          <w:szCs w:val="21"/>
        </w:rPr>
        <w:t>运行，较好地满足了</w:t>
      </w:r>
      <w:r>
        <w:rPr>
          <w:rFonts w:hint="default" w:ascii="Times New Roman" w:hAnsi="Times New Roman" w:eastAsia="宋体" w:cs="Times New Roman"/>
          <w:bCs/>
          <w:kern w:val="0"/>
          <w:sz w:val="21"/>
          <w:szCs w:val="21"/>
          <w:lang w:eastAsia="zh-CN"/>
        </w:rPr>
        <w:t>企业</w:t>
      </w:r>
      <w:r>
        <w:rPr>
          <w:rFonts w:hint="default" w:ascii="Times New Roman" w:hAnsi="Times New Roman" w:eastAsia="宋体" w:cs="Times New Roman"/>
          <w:bCs/>
          <w:kern w:val="0"/>
          <w:sz w:val="21"/>
          <w:szCs w:val="21"/>
        </w:rPr>
        <w:t>生产、销售和持续发展的需要。</w:t>
      </w:r>
    </w:p>
    <w:p>
      <w:pPr>
        <w:keepNext w:val="0"/>
        <w:keepLines w:val="0"/>
        <w:pageBreakBefore w:val="0"/>
        <w:widowControl/>
        <w:kinsoku/>
        <w:wordWrap/>
        <w:overflowPunct/>
        <w:topLinePunct w:val="0"/>
        <w:autoSpaceDE/>
        <w:autoSpaceDN/>
        <w:bidi w:val="0"/>
        <w:adjustRightInd/>
        <w:snapToGrid/>
        <w:spacing w:line="336" w:lineRule="auto"/>
        <w:textAlignment w:val="auto"/>
        <w:rPr>
          <w:rFonts w:cs="宋体" w:asciiTheme="minorEastAsia" w:hAnsiTheme="minorEastAsia"/>
          <w:b/>
          <w:bCs w:val="0"/>
          <w:color w:val="auto"/>
          <w:kern w:val="0"/>
          <w:szCs w:val="21"/>
        </w:rPr>
      </w:pPr>
      <w:r>
        <w:rPr>
          <w:rFonts w:hint="eastAsia" w:ascii="宋体" w:hAnsi="宋体" w:cs="宋体"/>
          <w:b/>
          <w:bCs w:val="0"/>
          <w:color w:val="auto"/>
          <w:kern w:val="0"/>
          <w:szCs w:val="21"/>
        </w:rPr>
        <w:t>2.</w:t>
      </w:r>
      <w:r>
        <w:rPr>
          <w:rFonts w:hint="eastAsia" w:asciiTheme="minorEastAsia" w:hAnsiTheme="minorEastAsia"/>
          <w:b/>
          <w:bCs w:val="0"/>
          <w:color w:val="auto"/>
          <w:szCs w:val="21"/>
        </w:rPr>
        <w:t>内部审核和管理评审</w:t>
      </w:r>
      <w:r>
        <w:rPr>
          <w:rFonts w:cs="宋体" w:asciiTheme="minorEastAsia" w:hAnsiTheme="minorEastAsia"/>
          <w:b/>
          <w:bCs w:val="0"/>
          <w:color w:val="auto"/>
          <w:kern w:val="0"/>
          <w:szCs w:val="21"/>
        </w:rPr>
        <w:t>的情况：</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bCs/>
          <w:color w:val="auto"/>
          <w:szCs w:val="21"/>
        </w:rPr>
      </w:pPr>
      <w:r>
        <w:rPr>
          <w:rStyle w:val="9"/>
          <w:rFonts w:hint="eastAsia" w:ascii="宋体" w:eastAsia="宋体"/>
          <w:b/>
          <w:bCs/>
          <w:color w:val="auto"/>
          <w:sz w:val="21"/>
          <w:szCs w:val="21"/>
        </w:rPr>
        <w:t>2.1内审情况：</w:t>
      </w:r>
      <w:r>
        <w:rPr>
          <w:rStyle w:val="9"/>
          <w:rFonts w:hint="eastAsia" w:ascii="宋体" w:eastAsia="宋体"/>
          <w:color w:val="auto"/>
          <w:sz w:val="21"/>
          <w:szCs w:val="21"/>
          <w:lang w:val="en-US" w:eastAsia="zh-CN"/>
        </w:rPr>
        <w:t>企业</w:t>
      </w:r>
      <w:r>
        <w:rPr>
          <w:rFonts w:hint="eastAsia" w:ascii="宋体" w:hAnsi="宋体"/>
          <w:bCs/>
          <w:color w:val="auto"/>
          <w:szCs w:val="21"/>
        </w:rPr>
        <w:t>于</w:t>
      </w:r>
      <w:r>
        <w:rPr>
          <w:rFonts w:hint="eastAsia" w:ascii="仿宋_GB2312"/>
          <w:lang w:val="en-US" w:eastAsia="zh-CN"/>
        </w:rPr>
        <w:t>2021</w:t>
      </w:r>
      <w:r>
        <w:rPr>
          <w:rFonts w:hint="eastAsia" w:ascii="仿宋_GB2312"/>
        </w:rPr>
        <w:t>年</w:t>
      </w:r>
      <w:r>
        <w:rPr>
          <w:rFonts w:hint="eastAsia" w:ascii="仿宋_GB2312"/>
          <w:lang w:val="en-US" w:eastAsia="zh-CN"/>
        </w:rPr>
        <w:t>11月12日</w:t>
      </w:r>
      <w:r>
        <w:rPr>
          <w:rFonts w:hint="eastAsia" w:ascii="宋体" w:hAnsi="宋体"/>
          <w:bCs/>
          <w:color w:val="auto"/>
          <w:szCs w:val="21"/>
        </w:rPr>
        <w:t>组织了</w:t>
      </w:r>
      <w:r>
        <w:rPr>
          <w:rFonts w:ascii="宋体" w:hAnsi="宋体"/>
          <w:bCs/>
          <w:color w:val="auto"/>
          <w:szCs w:val="21"/>
        </w:rPr>
        <w:t>测量管理体系</w:t>
      </w:r>
      <w:r>
        <w:rPr>
          <w:rFonts w:hint="eastAsia" w:ascii="宋体" w:hAnsi="宋体"/>
          <w:bCs/>
          <w:color w:val="auto"/>
          <w:szCs w:val="21"/>
          <w:lang w:val="en-US" w:eastAsia="zh-CN"/>
        </w:rPr>
        <w:t>内审</w:t>
      </w:r>
      <w:r>
        <w:rPr>
          <w:rFonts w:ascii="宋体" w:hAnsi="宋体"/>
          <w:bCs/>
          <w:color w:val="auto"/>
          <w:szCs w:val="21"/>
        </w:rPr>
        <w:t>，</w:t>
      </w:r>
      <w:r>
        <w:rPr>
          <w:rFonts w:hint="eastAsia" w:ascii="宋体" w:hAnsi="宋体"/>
          <w:bCs/>
          <w:color w:val="auto"/>
          <w:szCs w:val="21"/>
        </w:rPr>
        <w:t>对公司</w:t>
      </w:r>
      <w:r>
        <w:rPr>
          <w:rFonts w:hint="eastAsia" w:ascii="宋体" w:hAnsi="宋体"/>
          <w:bCs/>
          <w:color w:val="auto"/>
          <w:szCs w:val="21"/>
          <w:lang w:val="en-US" w:eastAsia="zh-CN"/>
        </w:rPr>
        <w:t>4</w:t>
      </w:r>
      <w:r>
        <w:rPr>
          <w:rFonts w:hint="eastAsia" w:ascii="宋体" w:hAnsi="宋体"/>
          <w:bCs/>
          <w:color w:val="auto"/>
          <w:szCs w:val="21"/>
        </w:rPr>
        <w:t>个部门进行</w:t>
      </w:r>
    </w:p>
    <w:p>
      <w:pPr>
        <w:keepNext w:val="0"/>
        <w:keepLines w:val="0"/>
        <w:pageBreakBefore w:val="0"/>
        <w:widowControl w:val="0"/>
        <w:kinsoku/>
        <w:wordWrap/>
        <w:overflowPunct/>
        <w:topLinePunct w:val="0"/>
        <w:autoSpaceDE/>
        <w:autoSpaceDN/>
        <w:bidi w:val="0"/>
        <w:adjustRightInd/>
        <w:snapToGrid/>
        <w:spacing w:line="336" w:lineRule="auto"/>
        <w:textAlignment w:val="auto"/>
        <w:rPr>
          <w:rStyle w:val="9"/>
          <w:rFonts w:hint="eastAsia" w:ascii="宋体" w:eastAsia="宋体"/>
          <w:color w:val="0070C0"/>
          <w:sz w:val="21"/>
          <w:szCs w:val="21"/>
          <w:lang w:val="en-US" w:eastAsia="zh-CN"/>
        </w:rPr>
      </w:pPr>
      <w:r>
        <w:rPr>
          <w:rFonts w:hint="eastAsia" w:ascii="宋体" w:hAnsi="宋体"/>
          <w:bCs/>
          <w:color w:val="auto"/>
          <w:szCs w:val="21"/>
        </w:rPr>
        <w:t>了全要素的审核，</w:t>
      </w:r>
      <w:r>
        <w:rPr>
          <w:rFonts w:ascii="宋体" w:hAnsi="宋体"/>
          <w:bCs/>
          <w:color w:val="auto"/>
          <w:szCs w:val="21"/>
        </w:rPr>
        <w:t>共</w:t>
      </w:r>
      <w:r>
        <w:rPr>
          <w:rFonts w:hint="eastAsia" w:ascii="宋体" w:hAnsi="宋体"/>
          <w:bCs/>
          <w:color w:val="auto"/>
          <w:szCs w:val="21"/>
          <w:lang w:val="en-US" w:eastAsia="zh-CN"/>
        </w:rPr>
        <w:t>出具</w:t>
      </w:r>
      <w:r>
        <w:rPr>
          <w:rFonts w:ascii="宋体" w:hAnsi="宋体"/>
          <w:bCs/>
          <w:color w:val="auto"/>
          <w:szCs w:val="21"/>
        </w:rPr>
        <w:t>了</w:t>
      </w:r>
      <w:r>
        <w:rPr>
          <w:rFonts w:hint="eastAsia" w:ascii="宋体" w:hAnsi="宋体"/>
          <w:bCs/>
          <w:color w:val="auto"/>
          <w:szCs w:val="21"/>
          <w:lang w:val="en-US" w:eastAsia="zh-CN"/>
        </w:rPr>
        <w:t>1个</w:t>
      </w:r>
      <w:r>
        <w:rPr>
          <w:rFonts w:hint="eastAsia" w:ascii="宋体" w:hAnsi="宋体"/>
          <w:bCs/>
          <w:color w:val="auto"/>
          <w:szCs w:val="21"/>
        </w:rPr>
        <w:t>不</w:t>
      </w:r>
      <w:r>
        <w:rPr>
          <w:rFonts w:ascii="宋体" w:hAnsi="宋体"/>
          <w:bCs/>
          <w:color w:val="auto"/>
          <w:szCs w:val="21"/>
        </w:rPr>
        <w:t>符合</w:t>
      </w:r>
      <w:r>
        <w:rPr>
          <w:rFonts w:hint="eastAsia" w:ascii="宋体" w:hAnsi="宋体"/>
          <w:bCs/>
          <w:color w:val="auto"/>
          <w:szCs w:val="21"/>
          <w:lang w:val="en-US" w:eastAsia="zh-CN"/>
        </w:rPr>
        <w:t>项</w:t>
      </w:r>
      <w:r>
        <w:rPr>
          <w:rFonts w:hint="eastAsia" w:ascii="宋体" w:hAnsi="宋体"/>
          <w:bCs/>
          <w:color w:val="auto"/>
          <w:szCs w:val="21"/>
        </w:rPr>
        <w:t>，</w:t>
      </w:r>
      <w:r>
        <w:rPr>
          <w:rFonts w:hint="default" w:ascii="Times New Roman" w:hAnsi="Times New Roman" w:eastAsia="宋体" w:cs="Times New Roman"/>
          <w:color w:val="auto"/>
          <w:sz w:val="21"/>
          <w:szCs w:val="21"/>
          <w:lang w:val="en-US" w:eastAsia="zh-CN"/>
        </w:rPr>
        <w:t>涉及认可准则“</w:t>
      </w:r>
      <w:r>
        <w:rPr>
          <w:rFonts w:hint="eastAsia" w:ascii="宋体" w:hAnsi="宋体"/>
          <w:color w:val="auto"/>
          <w:sz w:val="21"/>
          <w:szCs w:val="21"/>
          <w:lang w:val="en-US" w:eastAsia="zh-CN"/>
        </w:rPr>
        <w:t>6.2.4标识</w:t>
      </w:r>
      <w:r>
        <w:rPr>
          <w:rFonts w:hint="default" w:ascii="Times New Roman" w:hAnsi="Times New Roman" w:eastAsia="宋体" w:cs="Times New Roman"/>
          <w:color w:val="auto"/>
          <w:sz w:val="21"/>
          <w:szCs w:val="21"/>
          <w:lang w:val="en-US" w:eastAsia="zh-CN"/>
        </w:rPr>
        <w:t>”条款</w:t>
      </w:r>
      <w:r>
        <w:rPr>
          <w:rFonts w:hint="default" w:ascii="Times New Roman" w:hAnsi="Times New Roman" w:eastAsia="宋体" w:cs="Times New Roman"/>
          <w:sz w:val="21"/>
          <w:szCs w:val="21"/>
          <w:lang w:val="en-US" w:eastAsia="zh-CN"/>
        </w:rPr>
        <w:t>，已进行了原因分析，制定了纠正措施</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已</w:t>
      </w:r>
      <w:r>
        <w:rPr>
          <w:rFonts w:hint="default" w:ascii="Times New Roman" w:hAnsi="Times New Roman" w:eastAsia="宋体" w:cs="Times New Roman"/>
          <w:color w:val="auto"/>
          <w:sz w:val="21"/>
          <w:szCs w:val="21"/>
          <w:lang w:val="en-US" w:eastAsia="zh-CN"/>
        </w:rPr>
        <w:t>完成了整改</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不符合</w:t>
      </w:r>
      <w:r>
        <w:rPr>
          <w:rFonts w:hint="eastAsia" w:ascii="Times New Roman" w:hAnsi="Times New Roman" w:eastAsia="宋体" w:cs="Times New Roman"/>
          <w:sz w:val="21"/>
          <w:szCs w:val="21"/>
          <w:lang w:val="en-US" w:eastAsia="zh-CN"/>
        </w:rPr>
        <w:t>项关闭。</w:t>
      </w:r>
    </w:p>
    <w:p>
      <w:pPr>
        <w:keepNext w:val="0"/>
        <w:keepLines w:val="0"/>
        <w:pageBreakBefore w:val="0"/>
        <w:kinsoku/>
        <w:wordWrap/>
        <w:overflowPunct/>
        <w:topLinePunct w:val="0"/>
        <w:autoSpaceDE/>
        <w:autoSpaceDN/>
        <w:bidi w:val="0"/>
        <w:adjustRightInd/>
        <w:snapToGrid/>
        <w:spacing w:line="288" w:lineRule="auto"/>
        <w:textAlignment w:val="auto"/>
        <w:rPr>
          <w:rStyle w:val="9"/>
          <w:rFonts w:hint="eastAsia" w:ascii="宋体" w:eastAsiaTheme="minorEastAsia"/>
          <w:color w:val="0070C0"/>
          <w:sz w:val="21"/>
          <w:szCs w:val="21"/>
          <w:lang w:eastAsia="zh-CN"/>
        </w:rPr>
      </w:pPr>
      <w:r>
        <w:rPr>
          <w:rStyle w:val="9"/>
          <w:rFonts w:hint="eastAsia" w:ascii="宋体" w:eastAsia="宋体"/>
          <w:b/>
          <w:bCs/>
          <w:color w:val="auto"/>
          <w:sz w:val="21"/>
          <w:szCs w:val="21"/>
        </w:rPr>
        <w:t>2.2管理评审情况：</w:t>
      </w:r>
      <w:r>
        <w:rPr>
          <w:rStyle w:val="9"/>
          <w:rFonts w:hint="eastAsia" w:ascii="宋体" w:eastAsia="宋体"/>
          <w:color w:val="auto"/>
          <w:sz w:val="21"/>
          <w:szCs w:val="21"/>
        </w:rPr>
        <w:t>企</w:t>
      </w:r>
      <w:r>
        <w:rPr>
          <w:rFonts w:hint="eastAsia"/>
          <w:bCs/>
          <w:color w:val="auto"/>
          <w:szCs w:val="21"/>
        </w:rPr>
        <w:t>业</w:t>
      </w:r>
      <w:r>
        <w:rPr>
          <w:rFonts w:hint="default" w:ascii="Times New Roman" w:hAnsi="Times New Roman" w:eastAsia="宋体" w:cs="Times New Roman"/>
          <w:color w:val="auto"/>
          <w:szCs w:val="21"/>
        </w:rPr>
        <w:t>于20</w:t>
      </w:r>
      <w:r>
        <w:rPr>
          <w:rFonts w:hint="default" w:ascii="Times New Roman" w:hAnsi="Times New Roman" w:eastAsia="宋体" w:cs="Times New Roman"/>
          <w:color w:val="auto"/>
          <w:szCs w:val="21"/>
          <w:lang w:val="en-US" w:eastAsia="zh-CN"/>
        </w:rPr>
        <w:t>21</w:t>
      </w:r>
      <w:r>
        <w:rPr>
          <w:rFonts w:hint="default" w:ascii="Times New Roman" w:hAnsi="Times New Roman" w:eastAsia="宋体" w:cs="Times New Roman"/>
          <w:color w:val="auto"/>
          <w:szCs w:val="21"/>
        </w:rPr>
        <w:t>年</w:t>
      </w:r>
      <w:r>
        <w:rPr>
          <w:rFonts w:hint="eastAsia" w:ascii="Times New Roman" w:hAnsi="Times New Roman" w:eastAsia="宋体" w:cs="Times New Roman"/>
          <w:color w:val="auto"/>
          <w:szCs w:val="21"/>
          <w:lang w:val="en-US" w:eastAsia="zh-CN"/>
        </w:rPr>
        <w:t>11</w:t>
      </w:r>
      <w:r>
        <w:rPr>
          <w:rFonts w:hint="default" w:ascii="Times New Roman" w:hAnsi="Times New Roman" w:eastAsia="宋体" w:cs="Times New Roman"/>
          <w:color w:val="auto"/>
          <w:szCs w:val="21"/>
        </w:rPr>
        <w:t>月</w:t>
      </w:r>
      <w:r>
        <w:rPr>
          <w:rFonts w:hint="eastAsia" w:ascii="Times New Roman" w:hAnsi="Times New Roman" w:eastAsia="宋体" w:cs="Times New Roman"/>
          <w:color w:val="auto"/>
          <w:szCs w:val="21"/>
          <w:lang w:val="en-US" w:eastAsia="zh-CN"/>
        </w:rPr>
        <w:t>30</w:t>
      </w:r>
      <w:r>
        <w:rPr>
          <w:rFonts w:hint="default" w:ascii="Times New Roman" w:hAnsi="Times New Roman" w:eastAsia="宋体" w:cs="Times New Roman"/>
          <w:color w:val="auto"/>
          <w:szCs w:val="21"/>
        </w:rPr>
        <w:t>日开展</w:t>
      </w:r>
      <w:r>
        <w:rPr>
          <w:rFonts w:hint="eastAsia"/>
          <w:color w:val="auto"/>
          <w:szCs w:val="21"/>
        </w:rPr>
        <w:t>了</w:t>
      </w:r>
      <w:r>
        <w:rPr>
          <w:rFonts w:hint="eastAsia"/>
          <w:b w:val="0"/>
          <w:bCs w:val="0"/>
          <w:color w:val="auto"/>
          <w:szCs w:val="21"/>
        </w:rPr>
        <w:t>单</w:t>
      </w:r>
      <w:r>
        <w:rPr>
          <w:rFonts w:hint="eastAsia"/>
          <w:color w:val="auto"/>
          <w:szCs w:val="21"/>
        </w:rPr>
        <w:t>体系管理评审，会议</w:t>
      </w:r>
      <w:r>
        <w:rPr>
          <w:color w:val="auto"/>
          <w:szCs w:val="21"/>
          <w:highlight w:val="none"/>
        </w:rPr>
        <w:t>由</w:t>
      </w:r>
      <w:r>
        <w:rPr>
          <w:rFonts w:hint="eastAsia"/>
          <w:color w:val="auto"/>
          <w:szCs w:val="21"/>
          <w:highlight w:val="none"/>
          <w:lang w:val="en-US" w:eastAsia="zh-CN"/>
        </w:rPr>
        <w:t>总经理</w:t>
      </w:r>
      <w:r>
        <w:rPr>
          <w:rFonts w:hint="eastAsia" w:ascii="宋体" w:hAnsi="宋体" w:cs="黑体"/>
          <w:szCs w:val="21"/>
          <w:highlight w:val="none"/>
          <w:lang w:val="en-US" w:eastAsia="zh-CN"/>
        </w:rPr>
        <w:t>路君社</w:t>
      </w:r>
      <w:r>
        <w:rPr>
          <w:rFonts w:hint="eastAsia"/>
          <w:color w:val="auto"/>
          <w:szCs w:val="21"/>
          <w:highlight w:val="none"/>
          <w:lang w:val="en-US" w:eastAsia="zh-CN"/>
        </w:rPr>
        <w:t>主</w:t>
      </w:r>
      <w:r>
        <w:rPr>
          <w:rFonts w:hint="eastAsia"/>
          <w:color w:val="auto"/>
          <w:sz w:val="21"/>
          <w:szCs w:val="21"/>
          <w:highlight w:val="none"/>
          <w:lang w:val="en-US" w:eastAsia="zh-CN"/>
        </w:rPr>
        <w:t>持，管理者代表</w:t>
      </w:r>
      <w:r>
        <w:rPr>
          <w:rFonts w:hint="eastAsia" w:ascii="宋体" w:hAnsi="宋体" w:cs="黑体"/>
          <w:szCs w:val="21"/>
          <w:highlight w:val="none"/>
          <w:lang w:val="en-US" w:eastAsia="zh-CN"/>
        </w:rPr>
        <w:t>刘新</w:t>
      </w:r>
      <w:r>
        <w:rPr>
          <w:rFonts w:hint="eastAsia"/>
          <w:color w:val="auto"/>
          <w:sz w:val="21"/>
          <w:szCs w:val="21"/>
          <w:highlight w:val="none"/>
          <w:lang w:val="en-US" w:eastAsia="zh-CN"/>
        </w:rPr>
        <w:t>及</w:t>
      </w:r>
      <w:r>
        <w:rPr>
          <w:rFonts w:hint="eastAsia"/>
          <w:sz w:val="21"/>
          <w:szCs w:val="21"/>
          <w:highlight w:val="none"/>
          <w:lang w:val="en-US" w:eastAsia="zh-CN"/>
        </w:rPr>
        <w:t>各</w:t>
      </w:r>
      <w:r>
        <w:rPr>
          <w:bCs/>
          <w:sz w:val="21"/>
          <w:szCs w:val="21"/>
          <w:highlight w:val="none"/>
        </w:rPr>
        <w:t>部门</w:t>
      </w:r>
      <w:r>
        <w:rPr>
          <w:bCs/>
          <w:sz w:val="21"/>
          <w:szCs w:val="21"/>
        </w:rPr>
        <w:t>负责人</w:t>
      </w:r>
      <w:r>
        <w:rPr>
          <w:rFonts w:hint="eastAsia"/>
          <w:bCs/>
          <w:sz w:val="21"/>
          <w:szCs w:val="21"/>
          <w:lang w:val="en-US" w:eastAsia="zh-CN"/>
        </w:rPr>
        <w:t>分别</w:t>
      </w:r>
      <w:r>
        <w:rPr>
          <w:sz w:val="21"/>
          <w:szCs w:val="21"/>
        </w:rPr>
        <w:t>汇报了体系运行情况。评审</w:t>
      </w:r>
      <w:r>
        <w:rPr>
          <w:rFonts w:hint="eastAsia"/>
          <w:sz w:val="21"/>
          <w:szCs w:val="21"/>
          <w:lang w:val="en-US" w:eastAsia="zh-CN"/>
        </w:rPr>
        <w:t>输入包括：</w:t>
      </w:r>
      <w:r>
        <w:rPr>
          <w:rFonts w:hint="eastAsia"/>
          <w:color w:val="auto"/>
          <w:sz w:val="21"/>
          <w:szCs w:val="21"/>
        </w:rPr>
        <w:t xml:space="preserve"> 测量管理体系内审结果</w:t>
      </w:r>
      <w:r>
        <w:rPr>
          <w:rFonts w:hint="eastAsia"/>
          <w:color w:val="auto"/>
          <w:sz w:val="21"/>
          <w:szCs w:val="21"/>
          <w:lang w:val="en-US" w:eastAsia="zh-CN"/>
        </w:rPr>
        <w:t>及</w:t>
      </w:r>
      <w:r>
        <w:rPr>
          <w:rFonts w:hint="eastAsia"/>
          <w:color w:val="auto"/>
          <w:sz w:val="21"/>
          <w:szCs w:val="21"/>
        </w:rPr>
        <w:t>各项纠正和预防措施的实施状况；计量方针、目标的可行性</w:t>
      </w:r>
      <w:r>
        <w:rPr>
          <w:rFonts w:hint="eastAsia"/>
          <w:color w:val="auto"/>
          <w:sz w:val="21"/>
          <w:szCs w:val="21"/>
          <w:lang w:eastAsia="zh-CN"/>
        </w:rPr>
        <w:t>；</w:t>
      </w:r>
      <w:r>
        <w:rPr>
          <w:rFonts w:hint="eastAsia"/>
          <w:color w:val="auto"/>
          <w:sz w:val="21"/>
          <w:szCs w:val="21"/>
        </w:rPr>
        <w:t>产品实现过程的测量控制业绩和产品的符合性</w:t>
      </w:r>
      <w:r>
        <w:rPr>
          <w:rFonts w:hint="eastAsia" w:ascii="宋体" w:hAnsi="宋体"/>
          <w:color w:val="auto"/>
          <w:kern w:val="0"/>
          <w:sz w:val="21"/>
          <w:szCs w:val="21"/>
        </w:rPr>
        <w:t>，包括不合格倾向</w:t>
      </w:r>
      <w:r>
        <w:rPr>
          <w:rFonts w:hint="eastAsia" w:ascii="宋体" w:hAnsi="宋体"/>
          <w:color w:val="auto"/>
          <w:kern w:val="0"/>
          <w:sz w:val="21"/>
          <w:szCs w:val="21"/>
          <w:lang w:val="en-US" w:eastAsia="zh-CN"/>
        </w:rPr>
        <w:t>等6个方面的内容。</w:t>
      </w:r>
      <w:r>
        <w:rPr>
          <w:rFonts w:hint="default" w:ascii="Times New Roman" w:hAnsi="Times New Roman" w:eastAsia="宋体" w:cs="Times New Roman"/>
          <w:color w:val="auto"/>
          <w:sz w:val="21"/>
          <w:szCs w:val="21"/>
        </w:rPr>
        <w:t>会议肯定了企业测量管理体系的充分性、有效性和适宜性</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评审结论</w:t>
      </w:r>
      <w:r>
        <w:rPr>
          <w:rFonts w:hint="default" w:ascii="Times New Roman" w:hAnsi="Times New Roman" w:eastAsia="宋体" w:cs="Times New Roman"/>
          <w:color w:val="auto"/>
          <w:sz w:val="21"/>
          <w:szCs w:val="21"/>
          <w:lang w:eastAsia="zh-CN"/>
        </w:rPr>
        <w:t>：</w:t>
      </w:r>
      <w:r>
        <w:rPr>
          <w:rFonts w:hint="eastAsia"/>
          <w:color w:val="auto"/>
          <w:sz w:val="21"/>
          <w:szCs w:val="21"/>
        </w:rPr>
        <w:t>公司建立的测量管理体系质量方针目标策划到位，编制的测量管理体系文件符合标准要求且有效运行，测量设备处于良好的工作状态，测量过程有效测量结果准确、可靠，达到了保证和提高公司产品质量、提高公司生产、经营效率、安全环保监测管理水平的目的，降低了能源消耗和物料消耗，整个测量管理体系实施运行的过程处于受控状态，是适</w:t>
      </w:r>
      <w:r>
        <w:rPr>
          <w:rFonts w:hint="default" w:ascii="Times New Roman" w:hAnsi="Times New Roman" w:eastAsia="宋体" w:cs="Times New Roman"/>
          <w:color w:val="auto"/>
          <w:sz w:val="21"/>
          <w:szCs w:val="21"/>
        </w:rPr>
        <w:t>宜的、有效的，符合GB/T19022-2003</w:t>
      </w:r>
      <w:r>
        <w:rPr>
          <w:rFonts w:hint="eastAsia"/>
          <w:color w:val="auto"/>
          <w:sz w:val="21"/>
          <w:szCs w:val="21"/>
        </w:rPr>
        <w:t>标准的要求</w:t>
      </w:r>
      <w:r>
        <w:rPr>
          <w:rFonts w:hint="eastAsia"/>
          <w:color w:val="auto"/>
          <w:sz w:val="21"/>
          <w:szCs w:val="21"/>
          <w:lang w:eastAsia="zh-CN"/>
        </w:rPr>
        <w:t>。</w:t>
      </w:r>
    </w:p>
    <w:p>
      <w:pPr>
        <w:keepNext w:val="0"/>
        <w:keepLines w:val="0"/>
        <w:pageBreakBefore w:val="0"/>
        <w:widowControl/>
        <w:kinsoku/>
        <w:wordWrap/>
        <w:overflowPunct/>
        <w:topLinePunct w:val="0"/>
        <w:autoSpaceDE/>
        <w:autoSpaceDN/>
        <w:bidi w:val="0"/>
        <w:adjustRightInd/>
        <w:spacing w:line="336" w:lineRule="auto"/>
        <w:textAlignment w:val="auto"/>
        <w:rPr>
          <w:rFonts w:cs="宋体" w:asciiTheme="minorEastAsia" w:hAnsiTheme="minorEastAsia"/>
          <w:b/>
          <w:bCs w:val="0"/>
          <w:color w:val="auto"/>
          <w:kern w:val="0"/>
          <w:sz w:val="21"/>
          <w:szCs w:val="21"/>
        </w:rPr>
      </w:pPr>
      <w:r>
        <w:rPr>
          <w:rFonts w:hint="eastAsia" w:cs="宋体" w:asciiTheme="minorEastAsia" w:hAnsiTheme="minorEastAsia"/>
          <w:b/>
          <w:bCs w:val="0"/>
          <w:color w:val="auto"/>
          <w:kern w:val="0"/>
          <w:sz w:val="21"/>
          <w:szCs w:val="21"/>
        </w:rPr>
        <w:t>3.为持续改进而策划的活动的进展企业对识别的关键测量过程进行了持续的控制：</w:t>
      </w:r>
    </w:p>
    <w:p>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eastAsia" w:ascii="宋体" w:hAnsi="宋体"/>
          <w:szCs w:val="21"/>
        </w:rPr>
      </w:pPr>
      <w:r>
        <w:rPr>
          <w:rFonts w:hint="eastAsia" w:ascii="Times New Roman" w:hAnsi="Times New Roman" w:eastAsia="宋体" w:cs="Times New Roman"/>
          <w:color w:val="auto"/>
          <w:sz w:val="21"/>
          <w:szCs w:val="21"/>
          <w:lang w:val="en-US" w:eastAsia="zh-CN"/>
        </w:rPr>
        <w:t>企业共识别了12个测量过程，其中1个关键测量过程，</w:t>
      </w:r>
      <w:r>
        <w:rPr>
          <w:rFonts w:hint="eastAsia" w:ascii="宋体" w:hAnsi="宋体"/>
          <w:szCs w:val="21"/>
          <w:lang w:val="en-US" w:eastAsia="zh-CN"/>
        </w:rPr>
        <w:t>本年度无</w:t>
      </w:r>
      <w:r>
        <w:rPr>
          <w:rFonts w:hint="eastAsia" w:ascii="宋体" w:hAnsi="宋体"/>
          <w:szCs w:val="21"/>
        </w:rPr>
        <w:t>新增</w:t>
      </w:r>
      <w:r>
        <w:rPr>
          <w:rFonts w:hint="eastAsia" w:ascii="宋体" w:hAnsi="宋体"/>
          <w:szCs w:val="21"/>
          <w:lang w:val="en-US" w:eastAsia="zh-CN"/>
        </w:rPr>
        <w:t>关键</w:t>
      </w:r>
      <w:r>
        <w:rPr>
          <w:rFonts w:hint="eastAsia" w:ascii="宋体" w:hAnsi="宋体"/>
          <w:szCs w:val="21"/>
        </w:rPr>
        <w:t>测量过程。</w:t>
      </w:r>
    </w:p>
    <w:p>
      <w:pPr>
        <w:keepNext w:val="0"/>
        <w:keepLines w:val="0"/>
        <w:pageBreakBefore w:val="0"/>
        <w:widowControl/>
        <w:kinsoku/>
        <w:wordWrap/>
        <w:overflowPunct/>
        <w:topLinePunct w:val="0"/>
        <w:autoSpaceDE/>
        <w:autoSpaceDN/>
        <w:bidi w:val="0"/>
        <w:adjustRightInd/>
        <w:spacing w:line="336" w:lineRule="auto"/>
        <w:jc w:val="left"/>
        <w:textAlignment w:val="auto"/>
        <w:rPr>
          <w:rFonts w:hint="default" w:ascii="宋体" w:hAnsi="宋体" w:cs="宋体" w:eastAsiaTheme="minorEastAsia"/>
          <w:kern w:val="0"/>
          <w:szCs w:val="21"/>
          <w:highlight w:val="none"/>
          <w:lang w:val="en-US" w:eastAsia="zh-CN"/>
        </w:rPr>
      </w:pPr>
      <w:r>
        <w:rPr>
          <w:rFonts w:hint="eastAsia" w:ascii="宋体" w:hAnsi="宋体"/>
          <w:color w:val="auto"/>
          <w:sz w:val="21"/>
          <w:szCs w:val="21"/>
          <w:highlight w:val="none"/>
          <w:lang w:val="en-US" w:eastAsia="zh-CN"/>
        </w:rPr>
        <w:t>对已识别的关键测量过程进行了持续有效的控制：</w:t>
      </w:r>
    </w:p>
    <w:p>
      <w:pPr>
        <w:keepNext w:val="0"/>
        <w:keepLines w:val="0"/>
        <w:pageBreakBefore w:val="0"/>
        <w:widowControl/>
        <w:kinsoku/>
        <w:wordWrap/>
        <w:overflowPunct/>
        <w:topLinePunct w:val="0"/>
        <w:autoSpaceDE/>
        <w:autoSpaceDN/>
        <w:bidi w:val="0"/>
        <w:adjustRightInd/>
        <w:spacing w:line="336" w:lineRule="auto"/>
        <w:ind w:firstLine="420" w:firstLineChars="200"/>
        <w:jc w:val="left"/>
        <w:textAlignment w:val="auto"/>
        <w:rPr>
          <w:rFonts w:hint="default" w:ascii="Times New Roman" w:hAnsi="Times New Roman" w:eastAsia="宋体" w:cs="Times New Roman"/>
          <w:bCs/>
          <w:color w:val="auto"/>
          <w:kern w:val="0"/>
          <w:sz w:val="21"/>
          <w:szCs w:val="21"/>
        </w:rPr>
      </w:pPr>
      <w:r>
        <w:rPr>
          <w:rFonts w:hint="eastAsia" w:cs="宋体" w:asciiTheme="minorEastAsia" w:hAnsiTheme="minorEastAsia"/>
          <w:bCs/>
          <w:color w:val="auto"/>
          <w:kern w:val="0"/>
          <w:sz w:val="21"/>
          <w:szCs w:val="21"/>
        </w:rPr>
        <w:t>a)计量要求的导出和验证：查</w:t>
      </w:r>
      <w:r>
        <w:rPr>
          <w:rFonts w:hint="default" w:ascii="Times New Roman" w:hAnsi="Times New Roman" w:eastAsia="宋体" w:cs="Times New Roman"/>
          <w:bCs/>
          <w:color w:val="auto"/>
          <w:kern w:val="0"/>
          <w:sz w:val="21"/>
          <w:szCs w:val="21"/>
          <w:lang w:eastAsia="zh-CN"/>
        </w:rPr>
        <w:t>“</w:t>
      </w:r>
      <w:r>
        <w:rPr>
          <w:rFonts w:hint="eastAsia" w:ascii="Times New Roman" w:hAnsi="Times New Roman" w:eastAsia="宋体" w:cs="Times New Roman"/>
          <w:lang w:eastAsia="zh-CN"/>
        </w:rPr>
        <w:t>HXGN66-12</w:t>
      </w:r>
      <w:r>
        <w:rPr>
          <w:rFonts w:hint="default" w:ascii="Times New Roman" w:hAnsi="Times New Roman" w:eastAsia="宋体" w:cs="Times New Roman"/>
        </w:rPr>
        <w:t>高压开关柜铜母线排厚度尺寸</w:t>
      </w:r>
      <w:r>
        <w:rPr>
          <w:rFonts w:hint="default" w:ascii="Times New Roman" w:hAnsi="Times New Roman" w:eastAsia="宋体" w:cs="Times New Roman"/>
          <w:lang w:val="en-US" w:eastAsia="zh-CN"/>
        </w:rPr>
        <w:t>测量</w:t>
      </w:r>
      <w:r>
        <w:rPr>
          <w:rFonts w:hint="default" w:ascii="Times New Roman" w:hAnsi="Times New Roman" w:eastAsia="宋体" w:cs="Times New Roman"/>
          <w:color w:val="auto"/>
          <w:sz w:val="21"/>
          <w:szCs w:val="21"/>
          <w:lang w:val="en-US" w:eastAsia="zh-CN"/>
        </w:rPr>
        <w:t>过程</w:t>
      </w:r>
      <w:r>
        <w:rPr>
          <w:rFonts w:hint="default" w:ascii="Times New Roman" w:hAnsi="Times New Roman" w:eastAsia="宋体" w:cs="Times New Roman"/>
          <w:sz w:val="21"/>
          <w:szCs w:val="21"/>
          <w:lang w:val="en-US" w:eastAsia="zh-CN"/>
        </w:rPr>
        <w:t>”的</w:t>
      </w:r>
      <w:r>
        <w:rPr>
          <w:rFonts w:hint="default" w:ascii="Times New Roman" w:hAnsi="Times New Roman" w:eastAsia="宋体" w:cs="Times New Roman"/>
          <w:color w:val="auto"/>
          <w:sz w:val="21"/>
          <w:szCs w:val="21"/>
        </w:rPr>
        <w:t>计量要求导出方法正确，验证满足测量过程要求。</w:t>
      </w:r>
      <w:r>
        <w:rPr>
          <w:rFonts w:hint="default" w:ascii="Times New Roman" w:hAnsi="Times New Roman" w:eastAsia="宋体" w:cs="Times New Roman"/>
          <w:color w:val="auto"/>
          <w:sz w:val="21"/>
          <w:szCs w:val="21"/>
          <w:lang w:val="en-US" w:eastAsia="zh-CN"/>
        </w:rPr>
        <w:t>详</w:t>
      </w:r>
      <w:r>
        <w:rPr>
          <w:rFonts w:hint="default" w:ascii="Times New Roman" w:hAnsi="Times New Roman" w:eastAsia="宋体" w:cs="Times New Roman"/>
          <w:color w:val="auto"/>
          <w:sz w:val="21"/>
          <w:szCs w:val="21"/>
        </w:rPr>
        <w:t>见附件《计量要求导出</w:t>
      </w:r>
      <w:r>
        <w:rPr>
          <w:rFonts w:hint="default" w:ascii="Times New Roman" w:hAnsi="Times New Roman" w:eastAsia="宋体" w:cs="Times New Roman"/>
          <w:color w:val="auto"/>
          <w:sz w:val="21"/>
          <w:szCs w:val="21"/>
          <w:lang w:val="en-US" w:eastAsia="zh-CN"/>
        </w:rPr>
        <w:t>和</w:t>
      </w:r>
      <w:r>
        <w:rPr>
          <w:rFonts w:hint="default" w:ascii="Times New Roman" w:hAnsi="Times New Roman" w:eastAsia="宋体" w:cs="Times New Roman"/>
          <w:color w:val="auto"/>
          <w:sz w:val="21"/>
          <w:szCs w:val="21"/>
        </w:rPr>
        <w:t>验证记录表》</w:t>
      </w:r>
    </w:p>
    <w:p>
      <w:pPr>
        <w:keepNext w:val="0"/>
        <w:keepLines w:val="0"/>
        <w:pageBreakBefore w:val="0"/>
        <w:widowControl/>
        <w:kinsoku/>
        <w:wordWrap/>
        <w:overflowPunct/>
        <w:topLinePunct w:val="0"/>
        <w:autoSpaceDE/>
        <w:autoSpaceDN/>
        <w:bidi w:val="0"/>
        <w:adjustRightInd/>
        <w:spacing w:line="336" w:lineRule="auto"/>
        <w:ind w:firstLine="420" w:firstLineChars="200"/>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b)测量不确定评定：查</w:t>
      </w:r>
      <w:r>
        <w:rPr>
          <w:rFonts w:hint="default" w:ascii="Times New Roman" w:hAnsi="Times New Roman" w:eastAsia="宋体" w:cs="Times New Roman"/>
          <w:bCs/>
          <w:color w:val="auto"/>
          <w:kern w:val="0"/>
          <w:sz w:val="21"/>
          <w:szCs w:val="21"/>
          <w:lang w:eastAsia="zh-CN"/>
        </w:rPr>
        <w:t>“</w:t>
      </w:r>
      <w:r>
        <w:rPr>
          <w:rFonts w:hint="eastAsia" w:ascii="Times New Roman" w:hAnsi="Times New Roman" w:eastAsia="宋体" w:cs="Times New Roman"/>
          <w:lang w:eastAsia="zh-CN"/>
        </w:rPr>
        <w:t>HXGN66-12</w:t>
      </w:r>
      <w:r>
        <w:rPr>
          <w:rFonts w:hint="default" w:ascii="Times New Roman" w:hAnsi="Times New Roman" w:eastAsia="宋体" w:cs="Times New Roman"/>
        </w:rPr>
        <w:t>高压开关柜铜母线排厚度尺寸</w:t>
      </w:r>
      <w:r>
        <w:rPr>
          <w:rFonts w:hint="default" w:ascii="Times New Roman" w:hAnsi="Times New Roman" w:eastAsia="宋体" w:cs="Times New Roman"/>
          <w:lang w:val="en-US" w:eastAsia="zh-CN"/>
        </w:rPr>
        <w:t>测量</w:t>
      </w:r>
      <w:r>
        <w:rPr>
          <w:rFonts w:hint="default" w:ascii="Times New Roman" w:hAnsi="Times New Roman" w:eastAsia="宋体" w:cs="Times New Roman"/>
          <w:color w:val="auto"/>
          <w:sz w:val="21"/>
          <w:szCs w:val="21"/>
          <w:lang w:val="en-US" w:eastAsia="zh-CN"/>
        </w:rPr>
        <w:t>过程</w:t>
      </w:r>
      <w:r>
        <w:rPr>
          <w:rFonts w:hint="default" w:ascii="Times New Roman" w:hAnsi="Times New Roman" w:eastAsia="宋体" w:cs="Times New Roman"/>
          <w:sz w:val="21"/>
          <w:szCs w:val="21"/>
          <w:lang w:val="en-US" w:eastAsia="zh-CN"/>
        </w:rPr>
        <w:t>”的</w:t>
      </w:r>
      <w:r>
        <w:rPr>
          <w:rFonts w:hint="default" w:ascii="Times New Roman" w:hAnsi="Times New Roman" w:eastAsia="宋体" w:cs="Times New Roman"/>
          <w:color w:val="auto"/>
          <w:sz w:val="21"/>
          <w:szCs w:val="21"/>
        </w:rPr>
        <w:t>测量不确定度评定</w:t>
      </w:r>
      <w:r>
        <w:rPr>
          <w:rFonts w:hint="default" w:ascii="Times New Roman" w:hAnsi="Times New Roman" w:eastAsia="宋体" w:cs="Times New Roman"/>
          <w:color w:val="auto"/>
          <w:sz w:val="21"/>
          <w:szCs w:val="21"/>
          <w:lang w:val="en-US" w:eastAsia="zh-CN"/>
        </w:rPr>
        <w:t>情况，方法</w:t>
      </w:r>
      <w:r>
        <w:rPr>
          <w:rFonts w:hint="default" w:ascii="Times New Roman" w:hAnsi="Times New Roman" w:eastAsia="宋体" w:cs="Times New Roman"/>
          <w:color w:val="auto"/>
          <w:sz w:val="21"/>
          <w:szCs w:val="21"/>
        </w:rPr>
        <w:t>正确。</w:t>
      </w:r>
      <w:r>
        <w:rPr>
          <w:rFonts w:hint="default" w:ascii="Times New Roman" w:hAnsi="Times New Roman" w:eastAsia="宋体" w:cs="Times New Roman"/>
          <w:color w:val="auto"/>
          <w:sz w:val="21"/>
          <w:szCs w:val="21"/>
          <w:lang w:val="en-US" w:eastAsia="zh-CN"/>
        </w:rPr>
        <w:t>详</w:t>
      </w:r>
      <w:r>
        <w:rPr>
          <w:rFonts w:hint="default" w:ascii="Times New Roman" w:hAnsi="Times New Roman" w:eastAsia="宋体" w:cs="Times New Roman"/>
          <w:color w:val="auto"/>
          <w:sz w:val="21"/>
          <w:szCs w:val="21"/>
        </w:rPr>
        <w:t>见附</w:t>
      </w:r>
      <w:r>
        <w:rPr>
          <w:rFonts w:hint="default" w:ascii="Times New Roman" w:hAnsi="Times New Roman" w:eastAsia="宋体" w:cs="Times New Roman"/>
          <w:color w:val="auto"/>
          <w:sz w:val="21"/>
          <w:szCs w:val="21"/>
          <w:lang w:val="en-US" w:eastAsia="zh-CN"/>
        </w:rPr>
        <w:t>1“</w:t>
      </w:r>
      <w:r>
        <w:rPr>
          <w:rFonts w:hint="eastAsia" w:ascii="Times New Roman" w:hAnsi="Times New Roman" w:eastAsia="宋体" w:cs="Times New Roman"/>
          <w:lang w:eastAsia="zh-CN"/>
        </w:rPr>
        <w:t>HXGN66-12</w:t>
      </w:r>
      <w:r>
        <w:rPr>
          <w:rFonts w:hint="default" w:ascii="Times New Roman" w:hAnsi="Times New Roman" w:eastAsia="宋体" w:cs="Times New Roman"/>
        </w:rPr>
        <w:t>高压开关柜铜母线排厚度尺寸</w:t>
      </w:r>
      <w:r>
        <w:rPr>
          <w:rFonts w:hint="default" w:ascii="Times New Roman" w:hAnsi="Times New Roman" w:eastAsia="宋体" w:cs="Times New Roman"/>
          <w:lang w:val="en-US" w:eastAsia="zh-CN"/>
        </w:rPr>
        <w:t>测量</w:t>
      </w:r>
      <w:r>
        <w:rPr>
          <w:rFonts w:hint="default" w:ascii="Times New Roman" w:hAnsi="Times New Roman" w:eastAsia="宋体" w:cs="Times New Roman"/>
          <w:color w:val="auto"/>
          <w:sz w:val="21"/>
          <w:szCs w:val="21"/>
          <w:lang w:val="en-US" w:eastAsia="zh-CN"/>
        </w:rPr>
        <w:t>过程</w:t>
      </w:r>
      <w:r>
        <w:rPr>
          <w:rFonts w:hint="default" w:ascii="Times New Roman" w:hAnsi="Times New Roman" w:eastAsia="宋体" w:cs="Times New Roman"/>
          <w:color w:val="auto"/>
          <w:sz w:val="21"/>
          <w:szCs w:val="21"/>
        </w:rPr>
        <w:t>不确定度评定</w:t>
      </w:r>
      <w:r>
        <w:rPr>
          <w:rFonts w:hint="default" w:ascii="Times New Roman" w:hAnsi="Times New Roman" w:eastAsia="宋体" w:cs="Times New Roman"/>
          <w:color w:val="auto"/>
          <w:sz w:val="21"/>
          <w:szCs w:val="21"/>
          <w:lang w:val="en-US" w:eastAsia="zh-CN"/>
        </w:rPr>
        <w:t>报告”</w:t>
      </w:r>
      <w:r>
        <w:rPr>
          <w:rFonts w:hint="default" w:ascii="Times New Roman" w:hAnsi="Times New Roman" w:eastAsia="宋体" w:cs="Times New Roman"/>
          <w:color w:val="auto"/>
          <w:sz w:val="21"/>
          <w:szCs w:val="21"/>
          <w:lang w:eastAsia="zh-CN"/>
        </w:rPr>
        <w:t>。</w:t>
      </w:r>
    </w:p>
    <w:p>
      <w:pPr>
        <w:keepNext w:val="0"/>
        <w:keepLines w:val="0"/>
        <w:pageBreakBefore w:val="0"/>
        <w:widowControl/>
        <w:kinsoku/>
        <w:wordWrap/>
        <w:overflowPunct/>
        <w:topLinePunct w:val="0"/>
        <w:autoSpaceDE/>
        <w:autoSpaceDN/>
        <w:bidi w:val="0"/>
        <w:adjustRightInd/>
        <w:spacing w:line="336" w:lineRule="auto"/>
        <w:ind w:firstLine="420" w:firstLineChars="200"/>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c)有效性确认：查</w:t>
      </w:r>
      <w:r>
        <w:rPr>
          <w:rFonts w:hint="default" w:ascii="Times New Roman" w:hAnsi="Times New Roman" w:eastAsia="宋体" w:cs="Times New Roman"/>
          <w:color w:val="auto"/>
          <w:kern w:val="0"/>
          <w:sz w:val="21"/>
          <w:szCs w:val="21"/>
          <w:lang w:eastAsia="zh-CN"/>
        </w:rPr>
        <w:t>“</w:t>
      </w:r>
      <w:r>
        <w:rPr>
          <w:rFonts w:hint="eastAsia" w:ascii="Times New Roman" w:hAnsi="Times New Roman" w:eastAsia="宋体" w:cs="Times New Roman"/>
          <w:lang w:eastAsia="zh-CN"/>
        </w:rPr>
        <w:t>HXGN66-12</w:t>
      </w:r>
      <w:r>
        <w:rPr>
          <w:rFonts w:hint="default" w:ascii="Times New Roman" w:hAnsi="Times New Roman" w:eastAsia="宋体" w:cs="Times New Roman"/>
        </w:rPr>
        <w:t>高压开关柜铜母线排厚度尺寸</w:t>
      </w:r>
      <w:r>
        <w:rPr>
          <w:rFonts w:hint="default" w:ascii="Times New Roman" w:hAnsi="Times New Roman" w:eastAsia="宋体" w:cs="Times New Roman"/>
          <w:lang w:val="en-US" w:eastAsia="zh-CN"/>
        </w:rPr>
        <w:t>测量</w:t>
      </w:r>
      <w:r>
        <w:rPr>
          <w:rFonts w:hint="default" w:ascii="Times New Roman" w:hAnsi="Times New Roman" w:eastAsia="宋体" w:cs="Times New Roman"/>
          <w:color w:val="auto"/>
          <w:sz w:val="21"/>
          <w:szCs w:val="21"/>
          <w:lang w:val="en-US" w:eastAsia="zh-CN"/>
        </w:rPr>
        <w:t>过程</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color w:val="auto"/>
          <w:sz w:val="21"/>
          <w:szCs w:val="21"/>
          <w:lang w:val="en-US" w:eastAsia="zh-CN"/>
        </w:rPr>
        <w:t>的有效性确认情况</w:t>
      </w:r>
      <w:r>
        <w:rPr>
          <w:rFonts w:hint="default" w:ascii="Times New Roman" w:hAnsi="Times New Roman" w:eastAsia="宋体" w:cs="Times New Roman"/>
          <w:color w:val="auto"/>
          <w:sz w:val="21"/>
          <w:szCs w:val="21"/>
        </w:rPr>
        <w:t>，采用比对</w:t>
      </w:r>
      <w:r>
        <w:rPr>
          <w:rFonts w:hint="default" w:ascii="Times New Roman" w:hAnsi="Times New Roman" w:eastAsia="宋体" w:cs="Times New Roman"/>
          <w:color w:val="auto"/>
          <w:sz w:val="21"/>
          <w:szCs w:val="21"/>
          <w:lang w:val="en-US" w:eastAsia="zh-CN"/>
        </w:rPr>
        <w:t>法</w:t>
      </w:r>
      <w:r>
        <w:rPr>
          <w:rFonts w:hint="default" w:ascii="Times New Roman" w:hAnsi="Times New Roman" w:eastAsia="宋体" w:cs="Times New Roman"/>
          <w:color w:val="auto"/>
          <w:sz w:val="21"/>
          <w:szCs w:val="21"/>
        </w:rPr>
        <w:t>进行有效性确认，满足要求。</w:t>
      </w:r>
      <w:r>
        <w:rPr>
          <w:rFonts w:hint="default" w:ascii="Times New Roman" w:hAnsi="Times New Roman" w:eastAsia="宋体" w:cs="Times New Roman"/>
          <w:color w:val="auto"/>
          <w:sz w:val="21"/>
          <w:szCs w:val="21"/>
          <w:lang w:val="en-US" w:eastAsia="zh-CN"/>
        </w:rPr>
        <w:t>详</w:t>
      </w:r>
      <w:r>
        <w:rPr>
          <w:rFonts w:hint="default" w:ascii="Times New Roman" w:hAnsi="Times New Roman" w:eastAsia="宋体" w:cs="Times New Roman"/>
          <w:color w:val="auto"/>
          <w:sz w:val="21"/>
          <w:szCs w:val="21"/>
        </w:rPr>
        <w:t>见附</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《测量过程有效性确认</w:t>
      </w:r>
      <w:r>
        <w:rPr>
          <w:rFonts w:hint="default" w:ascii="Times New Roman" w:hAnsi="Times New Roman" w:eastAsia="宋体" w:cs="Times New Roman"/>
          <w:color w:val="auto"/>
          <w:sz w:val="21"/>
          <w:szCs w:val="21"/>
          <w:lang w:val="en-US" w:eastAsia="zh-CN"/>
        </w:rPr>
        <w:t>表</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w:t>
      </w:r>
    </w:p>
    <w:p>
      <w:pPr>
        <w:keepNext w:val="0"/>
        <w:keepLines w:val="0"/>
        <w:pageBreakBefore w:val="0"/>
        <w:widowControl/>
        <w:kinsoku/>
        <w:wordWrap/>
        <w:overflowPunct/>
        <w:topLinePunct w:val="0"/>
        <w:autoSpaceDE/>
        <w:autoSpaceDN/>
        <w:bidi w:val="0"/>
        <w:adjustRightInd/>
        <w:spacing w:line="336" w:lineRule="auto"/>
        <w:ind w:firstLine="420" w:firstLineChars="20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d)测量过程的控制：查</w:t>
      </w:r>
      <w:r>
        <w:rPr>
          <w:rFonts w:hint="default" w:ascii="Times New Roman" w:hAnsi="Times New Roman" w:eastAsia="宋体" w:cs="Times New Roman"/>
          <w:color w:val="auto"/>
          <w:kern w:val="0"/>
          <w:sz w:val="21"/>
          <w:szCs w:val="21"/>
          <w:lang w:eastAsia="zh-CN"/>
        </w:rPr>
        <w:t>“</w:t>
      </w:r>
      <w:r>
        <w:rPr>
          <w:rFonts w:hint="eastAsia" w:ascii="Times New Roman" w:hAnsi="Times New Roman" w:eastAsia="宋体" w:cs="Times New Roman"/>
          <w:lang w:eastAsia="zh-CN"/>
        </w:rPr>
        <w:t>HXGN66-12</w:t>
      </w:r>
      <w:r>
        <w:rPr>
          <w:rFonts w:hint="default" w:ascii="Times New Roman" w:hAnsi="Times New Roman" w:eastAsia="宋体" w:cs="Times New Roman"/>
        </w:rPr>
        <w:t>高压开关柜铜母线排厚度尺寸</w:t>
      </w:r>
      <w:r>
        <w:rPr>
          <w:rFonts w:hint="default" w:ascii="Times New Roman" w:hAnsi="Times New Roman" w:eastAsia="宋体" w:cs="Times New Roman"/>
          <w:lang w:val="en-US" w:eastAsia="zh-CN"/>
        </w:rPr>
        <w:t>测量</w:t>
      </w:r>
      <w:r>
        <w:rPr>
          <w:rFonts w:hint="default" w:ascii="Times New Roman" w:hAnsi="Times New Roman" w:eastAsia="宋体" w:cs="Times New Roman"/>
          <w:color w:val="auto"/>
          <w:sz w:val="21"/>
          <w:szCs w:val="21"/>
          <w:lang w:val="en-US" w:eastAsia="zh-CN"/>
        </w:rPr>
        <w:t>过程</w:t>
      </w:r>
      <w:r>
        <w:rPr>
          <w:rFonts w:hint="default" w:ascii="Times New Roman" w:hAnsi="Times New Roman" w:eastAsia="宋体" w:cs="Times New Roman"/>
          <w:sz w:val="21"/>
          <w:szCs w:val="21"/>
          <w:lang w:val="en-US" w:eastAsia="zh-CN"/>
        </w:rPr>
        <w:t>控制规范”</w:t>
      </w:r>
      <w:r>
        <w:rPr>
          <w:rFonts w:hint="default" w:ascii="Times New Roman" w:hAnsi="Times New Roman" w:eastAsia="宋体" w:cs="Times New Roman"/>
          <w:color w:val="auto"/>
          <w:sz w:val="21"/>
          <w:szCs w:val="21"/>
        </w:rPr>
        <w:t>，对测量人员、测量设备、测量环境进行控制，满足要求。</w:t>
      </w:r>
    </w:p>
    <w:p>
      <w:pPr>
        <w:keepNext w:val="0"/>
        <w:keepLines w:val="0"/>
        <w:pageBreakBefore w:val="0"/>
        <w:widowControl/>
        <w:kinsoku/>
        <w:wordWrap/>
        <w:overflowPunct/>
        <w:topLinePunct w:val="0"/>
        <w:autoSpaceDE/>
        <w:autoSpaceDN/>
        <w:bidi w:val="0"/>
        <w:adjustRightInd/>
        <w:spacing w:line="336" w:lineRule="auto"/>
        <w:ind w:firstLine="420" w:firstLineChars="200"/>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 w:val="21"/>
          <w:szCs w:val="21"/>
        </w:rPr>
        <w:t>e)测量过程的监视：查</w:t>
      </w:r>
      <w:r>
        <w:rPr>
          <w:rFonts w:hint="default" w:ascii="Times New Roman" w:hAnsi="Times New Roman" w:eastAsia="宋体" w:cs="Times New Roman"/>
          <w:color w:val="auto"/>
          <w:kern w:val="0"/>
          <w:sz w:val="21"/>
          <w:szCs w:val="21"/>
          <w:lang w:eastAsia="zh-CN"/>
        </w:rPr>
        <w:t>“</w:t>
      </w:r>
      <w:r>
        <w:rPr>
          <w:rFonts w:hint="eastAsia" w:ascii="Times New Roman" w:hAnsi="Times New Roman" w:eastAsia="宋体" w:cs="Times New Roman"/>
          <w:lang w:eastAsia="zh-CN"/>
        </w:rPr>
        <w:t>HXGN66-12</w:t>
      </w:r>
      <w:r>
        <w:rPr>
          <w:rFonts w:hint="default" w:ascii="Times New Roman" w:hAnsi="Times New Roman" w:eastAsia="宋体" w:cs="Times New Roman"/>
        </w:rPr>
        <w:t>高压开关柜铜母线排厚度尺寸</w:t>
      </w:r>
      <w:r>
        <w:rPr>
          <w:rFonts w:hint="default" w:ascii="Times New Roman" w:hAnsi="Times New Roman" w:eastAsia="宋体" w:cs="Times New Roman"/>
          <w:lang w:val="en-US" w:eastAsia="zh-CN"/>
        </w:rPr>
        <w:t>测量</w:t>
      </w:r>
      <w:r>
        <w:rPr>
          <w:rFonts w:hint="default" w:ascii="Times New Roman" w:hAnsi="Times New Roman" w:eastAsia="宋体" w:cs="Times New Roman"/>
          <w:color w:val="auto"/>
          <w:sz w:val="21"/>
          <w:szCs w:val="21"/>
          <w:lang w:val="en-US" w:eastAsia="zh-CN"/>
        </w:rPr>
        <w:t>过程</w:t>
      </w:r>
      <w:r>
        <w:rPr>
          <w:rFonts w:hint="default" w:ascii="Times New Roman" w:hAnsi="Times New Roman" w:eastAsia="宋体" w:cs="Times New Roman"/>
          <w:lang w:val="en-US" w:eastAsia="zh-CN"/>
        </w:rPr>
        <w:t>”的监视记录及控制图，</w:t>
      </w:r>
      <w:r>
        <w:rPr>
          <w:rFonts w:hint="default" w:ascii="Times New Roman" w:hAnsi="Times New Roman" w:eastAsia="宋体" w:cs="Times New Roman"/>
          <w:color w:val="auto"/>
          <w:kern w:val="0"/>
          <w:szCs w:val="21"/>
        </w:rPr>
        <w:t>采用统计技术</w:t>
      </w:r>
      <w:r>
        <w:rPr>
          <w:rFonts w:hint="default" w:ascii="Times New Roman" w:hAnsi="Times New Roman" w:eastAsia="宋体" w:cs="Times New Roman"/>
          <w:color w:val="auto"/>
          <w:kern w:val="0"/>
          <w:szCs w:val="21"/>
          <w:lang w:val="en-US" w:eastAsia="zh-CN"/>
        </w:rPr>
        <w:t>对测量过程</w:t>
      </w:r>
      <w:r>
        <w:rPr>
          <w:rFonts w:hint="default" w:ascii="Times New Roman" w:hAnsi="Times New Roman" w:eastAsia="宋体" w:cs="Times New Roman"/>
          <w:color w:val="auto"/>
          <w:kern w:val="0"/>
          <w:szCs w:val="21"/>
        </w:rPr>
        <w:t>进行控制和监视。</w:t>
      </w:r>
      <w:r>
        <w:rPr>
          <w:rFonts w:hint="default" w:ascii="Times New Roman" w:hAnsi="Times New Roman" w:eastAsia="宋体" w:cs="Times New Roman"/>
          <w:color w:val="auto"/>
          <w:kern w:val="0"/>
          <w:szCs w:val="21"/>
          <w:lang w:val="en-US" w:eastAsia="zh-CN"/>
        </w:rPr>
        <w:t>详</w:t>
      </w:r>
      <w:r>
        <w:rPr>
          <w:rFonts w:hint="default" w:ascii="Times New Roman" w:hAnsi="Times New Roman" w:eastAsia="宋体" w:cs="Times New Roman"/>
          <w:color w:val="auto"/>
          <w:kern w:val="0"/>
          <w:szCs w:val="21"/>
        </w:rPr>
        <w:t>见</w:t>
      </w:r>
      <w:r>
        <w:rPr>
          <w:rFonts w:hint="default" w:ascii="Times New Roman" w:hAnsi="Times New Roman" w:eastAsia="宋体" w:cs="Times New Roman"/>
          <w:color w:val="auto"/>
          <w:kern w:val="0"/>
          <w:szCs w:val="21"/>
          <w:lang w:val="en-US" w:eastAsia="zh-CN"/>
        </w:rPr>
        <w:t>附2</w:t>
      </w:r>
      <w:r>
        <w:rPr>
          <w:rFonts w:hint="default" w:ascii="Times New Roman" w:hAnsi="Times New Roman" w:eastAsia="宋体" w:cs="Times New Roman"/>
          <w:color w:val="auto"/>
          <w:kern w:val="0"/>
          <w:szCs w:val="21"/>
        </w:rPr>
        <w:t>《测量过程监视记录</w:t>
      </w:r>
      <w:r>
        <w:rPr>
          <w:rFonts w:hint="default" w:ascii="Times New Roman" w:hAnsi="Times New Roman" w:eastAsia="宋体" w:cs="Times New Roman"/>
          <w:color w:val="auto"/>
          <w:kern w:val="0"/>
          <w:szCs w:val="21"/>
          <w:lang w:val="en-US" w:eastAsia="zh-CN"/>
        </w:rPr>
        <w:t>及控制图</w:t>
      </w:r>
      <w:r>
        <w:rPr>
          <w:rFonts w:hint="default" w:ascii="Times New Roman" w:hAnsi="Times New Roman" w:eastAsia="宋体" w:cs="Times New Roman"/>
          <w:color w:val="auto"/>
          <w:kern w:val="0"/>
          <w:szCs w:val="21"/>
        </w:rPr>
        <w:t>》</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lang w:val="en-US" w:eastAsia="zh-CN"/>
        </w:rPr>
        <w:t>符合要求。</w:t>
      </w:r>
    </w:p>
    <w:p>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Cs w:val="21"/>
        </w:rPr>
        <w:t>f)测量设备的</w:t>
      </w:r>
      <w:r>
        <w:rPr>
          <w:rFonts w:hint="default" w:ascii="Times New Roman" w:hAnsi="Times New Roman" w:eastAsia="宋体" w:cs="Times New Roman"/>
          <w:color w:val="auto"/>
          <w:kern w:val="0"/>
          <w:sz w:val="21"/>
          <w:szCs w:val="21"/>
        </w:rPr>
        <w:t>溯源：</w:t>
      </w:r>
      <w:r>
        <w:rPr>
          <w:rFonts w:hint="default" w:ascii="Times New Roman" w:hAnsi="Times New Roman" w:eastAsia="宋体" w:cs="Times New Roman"/>
          <w:color w:val="auto"/>
          <w:kern w:val="0"/>
          <w:sz w:val="21"/>
          <w:szCs w:val="21"/>
          <w:highlight w:val="none"/>
          <w:lang w:val="en-US" w:eastAsia="zh-CN"/>
        </w:rPr>
        <w:t>企业</w:t>
      </w:r>
      <w:r>
        <w:rPr>
          <w:rFonts w:hint="default" w:ascii="Times New Roman" w:hAnsi="Times New Roman" w:eastAsia="宋体" w:cs="Times New Roman"/>
          <w:kern w:val="0"/>
          <w:sz w:val="21"/>
          <w:szCs w:val="21"/>
          <w:highlight w:val="none"/>
        </w:rPr>
        <w:t>未建</w:t>
      </w:r>
      <w:r>
        <w:rPr>
          <w:rFonts w:hint="default" w:ascii="Times New Roman" w:hAnsi="Times New Roman" w:eastAsia="宋体" w:cs="Times New Roman"/>
          <w:kern w:val="0"/>
          <w:sz w:val="21"/>
          <w:szCs w:val="21"/>
          <w:highlight w:val="none"/>
          <w:lang w:val="en-US" w:eastAsia="zh-CN"/>
        </w:rPr>
        <w:t>立</w:t>
      </w:r>
      <w:r>
        <w:rPr>
          <w:rFonts w:hint="default" w:ascii="Times New Roman" w:hAnsi="Times New Roman" w:eastAsia="宋体" w:cs="Times New Roman"/>
          <w:kern w:val="0"/>
          <w:sz w:val="21"/>
          <w:szCs w:val="21"/>
          <w:highlight w:val="none"/>
        </w:rPr>
        <w:t>最高计量标准</w:t>
      </w:r>
      <w:r>
        <w:rPr>
          <w:rFonts w:hint="default" w:ascii="Times New Roman" w:hAnsi="Times New Roman" w:eastAsia="宋体" w:cs="Times New Roman"/>
          <w:kern w:val="0"/>
          <w:sz w:val="21"/>
          <w:szCs w:val="21"/>
          <w:highlight w:val="none"/>
          <w:lang w:eastAsia="zh-CN"/>
        </w:rPr>
        <w:t>，</w:t>
      </w:r>
      <w:r>
        <w:rPr>
          <w:rFonts w:hint="default" w:ascii="Times New Roman" w:hAnsi="Times New Roman" w:eastAsia="宋体" w:cs="Times New Roman"/>
          <w:color w:val="auto"/>
          <w:kern w:val="0"/>
          <w:sz w:val="21"/>
          <w:szCs w:val="21"/>
          <w:highlight w:val="none"/>
        </w:rPr>
        <w:t>测量设备全部委托</w:t>
      </w:r>
      <w:r>
        <w:rPr>
          <w:rFonts w:hint="eastAsia" w:ascii="Times New Roman" w:hAnsi="Times New Roman" w:eastAsia="宋体" w:cs="Times New Roman"/>
          <w:color w:val="auto"/>
          <w:kern w:val="0"/>
          <w:sz w:val="21"/>
          <w:szCs w:val="21"/>
          <w:highlight w:val="none"/>
          <w:lang w:eastAsia="zh-CN"/>
        </w:rPr>
        <w:t>“</w:t>
      </w:r>
      <w:r>
        <w:rPr>
          <w:rFonts w:hint="eastAsia" w:ascii="Times New Roman" w:hAnsi="Times New Roman" w:eastAsia="宋体" w:cs="Times New Roman"/>
          <w:szCs w:val="21"/>
        </w:rPr>
        <w:t>东莞市帝恩检测有限公司</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进行校准，</w:t>
      </w:r>
      <w:r>
        <w:rPr>
          <w:rFonts w:hint="eastAsia" w:ascii="Times New Roman" w:hAnsi="Times New Roman" w:eastAsia="宋体" w:cs="Times New Roman"/>
          <w:color w:val="auto"/>
          <w:sz w:val="21"/>
          <w:szCs w:val="21"/>
          <w:highlight w:val="none"/>
          <w:lang w:val="en-US" w:eastAsia="zh-CN"/>
        </w:rPr>
        <w:t>其机构注册号为CNAS L6483。符合要求。</w:t>
      </w:r>
    </w:p>
    <w:p>
      <w:pPr>
        <w:keepNext w:val="0"/>
        <w:keepLines w:val="0"/>
        <w:pageBreakBefore w:val="0"/>
        <w:widowControl/>
        <w:kinsoku/>
        <w:wordWrap/>
        <w:overflowPunct/>
        <w:topLinePunct w:val="0"/>
        <w:autoSpaceDE/>
        <w:autoSpaceDN/>
        <w:bidi w:val="0"/>
        <w:adjustRightInd/>
        <w:spacing w:line="336" w:lineRule="auto"/>
        <w:ind w:firstLine="420" w:firstLineChars="200"/>
        <w:textAlignment w:val="auto"/>
        <w:rPr>
          <w:rFonts w:hint="eastAsia" w:eastAsiaTheme="minorEastAsia"/>
          <w:color w:val="auto"/>
          <w:szCs w:val="21"/>
          <w:highlight w:val="none"/>
          <w:lang w:eastAsia="zh-CN"/>
        </w:rPr>
      </w:pPr>
      <w:r>
        <w:rPr>
          <w:rFonts w:hint="default" w:ascii="Times New Roman" w:hAnsi="Times New Roman" w:eastAsia="宋体" w:cs="Times New Roman"/>
          <w:color w:val="auto"/>
          <w:sz w:val="21"/>
          <w:szCs w:val="21"/>
          <w:highlight w:val="none"/>
        </w:rPr>
        <w:t>抽查</w:t>
      </w:r>
      <w:r>
        <w:rPr>
          <w:rFonts w:hint="default" w:ascii="Times New Roman" w:hAnsi="Times New Roman" w:eastAsia="宋体" w:cs="Times New Roman"/>
          <w:color w:val="auto"/>
          <w:sz w:val="21"/>
          <w:szCs w:val="21"/>
          <w:highlight w:val="none"/>
          <w:lang w:val="en-US" w:eastAsia="zh-CN"/>
        </w:rPr>
        <w:t>的</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份校准证书均在有效期内，符合要求。详见《测量设备溯源抽查表》</w:t>
      </w:r>
      <w:r>
        <w:rPr>
          <w:rFonts w:hint="eastAsia"/>
          <w:color w:val="auto"/>
          <w:szCs w:val="21"/>
          <w:highlight w:val="none"/>
          <w:lang w:eastAsia="zh-CN"/>
        </w:rPr>
        <w:t>。</w:t>
      </w:r>
    </w:p>
    <w:p>
      <w:pPr>
        <w:keepNext w:val="0"/>
        <w:keepLines w:val="0"/>
        <w:pageBreakBefore w:val="0"/>
        <w:widowControl/>
        <w:kinsoku/>
        <w:wordWrap/>
        <w:overflowPunct/>
        <w:topLinePunct w:val="0"/>
        <w:autoSpaceDE/>
        <w:autoSpaceDN/>
        <w:bidi w:val="0"/>
        <w:adjustRightInd/>
        <w:spacing w:line="336" w:lineRule="auto"/>
        <w:textAlignment w:val="auto"/>
        <w:rPr>
          <w:rFonts w:hint="eastAsia" w:ascii="宋体" w:hAnsi="宋体"/>
          <w:szCs w:val="21"/>
          <w:highlight w:val="yellow"/>
          <w:shd w:val="clear" w:color="FFFFFF" w:fill="D9D9D9"/>
        </w:rPr>
      </w:pPr>
      <w:r>
        <w:rPr>
          <w:rFonts w:hint="eastAsia"/>
          <w:b/>
          <w:bCs/>
          <w:color w:val="auto"/>
          <w:szCs w:val="21"/>
        </w:rPr>
        <w:t>4.能源管理情况：</w:t>
      </w:r>
    </w:p>
    <w:p>
      <w:pPr>
        <w:keepNext w:val="0"/>
        <w:keepLines w:val="0"/>
        <w:pageBreakBefore w:val="0"/>
        <w:widowControl/>
        <w:numPr>
          <w:ilvl w:val="0"/>
          <w:numId w:val="0"/>
        </w:numPr>
        <w:kinsoku/>
        <w:wordWrap/>
        <w:overflowPunct/>
        <w:topLinePunct w:val="0"/>
        <w:autoSpaceDE/>
        <w:autoSpaceDN/>
        <w:bidi w:val="0"/>
        <w:adjustRightInd/>
        <w:spacing w:line="336" w:lineRule="auto"/>
        <w:ind w:firstLine="420" w:firstLineChars="200"/>
        <w:textAlignment w:val="auto"/>
        <w:rPr>
          <w:rFonts w:hint="eastAsia" w:ascii="宋体" w:hAnsi="宋体"/>
          <w:szCs w:val="21"/>
        </w:rPr>
      </w:pPr>
      <w:r>
        <w:rPr>
          <w:rFonts w:hint="eastAsia" w:ascii="宋体" w:hAnsi="宋体"/>
          <w:szCs w:val="21"/>
          <w:highlight w:val="none"/>
        </w:rPr>
        <w:t>企业主要耗能</w:t>
      </w:r>
      <w:r>
        <w:rPr>
          <w:rFonts w:hint="eastAsia" w:ascii="宋体" w:hAnsi="宋体"/>
          <w:szCs w:val="21"/>
          <w:highlight w:val="none"/>
          <w:lang w:val="en-US" w:eastAsia="zh-CN"/>
        </w:rPr>
        <w:t>品种</w:t>
      </w:r>
      <w:r>
        <w:rPr>
          <w:rFonts w:hint="eastAsia" w:ascii="宋体" w:hAnsi="宋体"/>
          <w:szCs w:val="21"/>
          <w:highlight w:val="none"/>
        </w:rPr>
        <w:t>为电</w:t>
      </w:r>
      <w:r>
        <w:rPr>
          <w:rFonts w:hint="eastAsia" w:ascii="宋体" w:hAnsi="宋体"/>
          <w:szCs w:val="21"/>
          <w:highlight w:val="none"/>
          <w:lang w:val="en-US" w:eastAsia="zh-CN"/>
        </w:rPr>
        <w:t>和水</w:t>
      </w:r>
      <w:r>
        <w:rPr>
          <w:rFonts w:hint="eastAsia" w:ascii="宋体" w:hAnsi="宋体"/>
          <w:szCs w:val="21"/>
          <w:highlight w:val="none"/>
        </w:rPr>
        <w:t>；20</w:t>
      </w:r>
      <w:r>
        <w:rPr>
          <w:rFonts w:ascii="宋体" w:hAnsi="宋体"/>
          <w:szCs w:val="21"/>
          <w:highlight w:val="none"/>
        </w:rPr>
        <w:t>20</w:t>
      </w:r>
      <w:r>
        <w:rPr>
          <w:rFonts w:hint="eastAsia" w:ascii="宋体" w:hAnsi="宋体"/>
          <w:szCs w:val="21"/>
          <w:highlight w:val="none"/>
          <w:lang w:val="en-US" w:eastAsia="zh-CN"/>
        </w:rPr>
        <w:t>年12月</w:t>
      </w:r>
      <w:r>
        <w:rPr>
          <w:rFonts w:hint="eastAsia" w:ascii="宋体" w:hAnsi="宋体" w:eastAsia="宋体" w:cs="宋体"/>
          <w:szCs w:val="21"/>
          <w:highlight w:val="none"/>
          <w:lang w:val="en-US" w:eastAsia="zh-CN"/>
        </w:rPr>
        <w:t>～</w:t>
      </w:r>
      <w:r>
        <w:rPr>
          <w:rFonts w:hint="eastAsia" w:ascii="宋体" w:hAnsi="宋体"/>
          <w:szCs w:val="21"/>
          <w:highlight w:val="none"/>
          <w:lang w:val="en-US" w:eastAsia="zh-CN"/>
        </w:rPr>
        <w:t>2021年11月共用电127878度，用水7000吨。共折合16.32</w:t>
      </w:r>
      <w:r>
        <w:rPr>
          <w:rFonts w:hint="eastAsia" w:ascii="宋体" w:hAnsi="宋体"/>
          <w:szCs w:val="21"/>
          <w:highlight w:val="none"/>
        </w:rPr>
        <w:t>吨标煤</w:t>
      </w:r>
      <w:r>
        <w:rPr>
          <w:rFonts w:hint="eastAsia" w:ascii="宋体" w:hAnsi="宋体"/>
          <w:szCs w:val="21"/>
          <w:highlight w:val="none"/>
          <w:lang w:eastAsia="zh-CN"/>
        </w:rPr>
        <w:t>。</w:t>
      </w:r>
      <w:r>
        <w:rPr>
          <w:rFonts w:hint="eastAsia" w:ascii="宋体" w:hAnsi="宋体"/>
          <w:szCs w:val="21"/>
          <w:highlight w:val="none"/>
          <w:lang w:val="en-US" w:eastAsia="zh-CN"/>
        </w:rPr>
        <w:t>企业</w:t>
      </w:r>
      <w:r>
        <w:rPr>
          <w:rFonts w:hint="eastAsia" w:ascii="宋体" w:hAnsi="宋体"/>
          <w:szCs w:val="21"/>
          <w:highlight w:val="none"/>
        </w:rPr>
        <w:t>不是重点</w:t>
      </w:r>
      <w:r>
        <w:rPr>
          <w:rFonts w:hint="eastAsia" w:ascii="宋体" w:hAnsi="宋体"/>
          <w:szCs w:val="21"/>
          <w:highlight w:val="none"/>
          <w:lang w:val="en-US" w:eastAsia="zh-CN"/>
        </w:rPr>
        <w:t>用</w:t>
      </w:r>
      <w:r>
        <w:rPr>
          <w:rFonts w:hint="eastAsia" w:ascii="宋体" w:hAnsi="宋体"/>
          <w:szCs w:val="21"/>
          <w:highlight w:val="none"/>
        </w:rPr>
        <w:t>能企业。</w:t>
      </w:r>
    </w:p>
    <w:p>
      <w:pPr>
        <w:keepNext w:val="0"/>
        <w:keepLines w:val="0"/>
        <w:pageBreakBefore w:val="0"/>
        <w:widowControl/>
        <w:numPr>
          <w:ilvl w:val="0"/>
          <w:numId w:val="0"/>
        </w:numPr>
        <w:kinsoku/>
        <w:wordWrap/>
        <w:overflowPunct/>
        <w:topLinePunct w:val="0"/>
        <w:autoSpaceDE/>
        <w:autoSpaceDN/>
        <w:bidi w:val="0"/>
        <w:adjustRightInd/>
        <w:spacing w:line="336" w:lineRule="auto"/>
        <w:textAlignment w:val="auto"/>
        <w:rPr>
          <w:rFonts w:cs="宋体" w:asciiTheme="minorEastAsia" w:hAnsiTheme="minorEastAsia"/>
          <w:b/>
          <w:bCs w:val="0"/>
          <w:color w:val="auto"/>
          <w:kern w:val="0"/>
          <w:szCs w:val="21"/>
        </w:rPr>
      </w:pPr>
      <w:r>
        <w:rPr>
          <w:rFonts w:hint="eastAsia" w:asciiTheme="minorEastAsia" w:hAnsiTheme="minorEastAsia"/>
          <w:b/>
          <w:bCs w:val="0"/>
          <w:color w:val="auto"/>
          <w:szCs w:val="21"/>
          <w:lang w:val="en-US" w:eastAsia="zh-CN"/>
        </w:rPr>
        <w:t>5.</w:t>
      </w:r>
      <w:r>
        <w:rPr>
          <w:rFonts w:hint="eastAsia" w:asciiTheme="minorEastAsia" w:hAnsiTheme="minorEastAsia"/>
          <w:b/>
          <w:bCs w:val="0"/>
          <w:color w:val="auto"/>
          <w:szCs w:val="21"/>
        </w:rPr>
        <w:t>对认证审核时提出的的不符合项的纠正措施情况</w:t>
      </w:r>
      <w:r>
        <w:rPr>
          <w:rFonts w:cs="宋体" w:asciiTheme="minorEastAsia" w:hAnsiTheme="minorEastAsia"/>
          <w:b/>
          <w:bCs w:val="0"/>
          <w:color w:val="auto"/>
          <w:kern w:val="0"/>
          <w:szCs w:val="21"/>
        </w:rPr>
        <w:t>：</w:t>
      </w:r>
    </w:p>
    <w:p>
      <w:pPr>
        <w:keepNext w:val="0"/>
        <w:keepLines w:val="0"/>
        <w:pageBreakBefore w:val="0"/>
        <w:widowControl w:val="0"/>
        <w:shd w:val="clear" w:color="auto" w:fill="FFFFFF"/>
        <w:kinsoku/>
        <w:wordWrap/>
        <w:overflowPunct/>
        <w:topLinePunct w:val="0"/>
        <w:autoSpaceDE/>
        <w:autoSpaceDN/>
        <w:bidi w:val="0"/>
        <w:adjustRightInd/>
        <w:snapToGrid/>
        <w:spacing w:line="288" w:lineRule="auto"/>
        <w:ind w:firstLine="420" w:firstLineChars="200"/>
        <w:textAlignment w:val="auto"/>
        <w:rPr>
          <w:rFonts w:hint="eastAsia"/>
          <w:b w:val="0"/>
          <w:bCs/>
          <w:color w:val="FF0000"/>
          <w:szCs w:val="21"/>
          <w:lang w:val="en-US" w:eastAsia="zh-CN"/>
        </w:rPr>
      </w:pPr>
      <w:r>
        <w:rPr>
          <w:rFonts w:hint="eastAsia"/>
          <w:b w:val="0"/>
          <w:bCs/>
          <w:color w:val="auto"/>
          <w:szCs w:val="21"/>
          <w:lang w:val="en-US" w:eastAsia="zh-CN"/>
        </w:rPr>
        <w:t>企业上年度认证审核出具的1个不符合项：</w:t>
      </w:r>
    </w:p>
    <w:p>
      <w:pPr>
        <w:spacing w:line="440" w:lineRule="exact"/>
        <w:ind w:firstLine="420" w:firstLineChars="200"/>
        <w:jc w:val="left"/>
        <w:rPr>
          <w:rFonts w:hint="default" w:ascii="宋体" w:hAnsi="宋体" w:eastAsiaTheme="minorEastAsia"/>
          <w:color w:val="000000"/>
          <w:szCs w:val="21"/>
          <w:u w:val="none"/>
          <w:lang w:val="en-US" w:eastAsia="zh-CN"/>
        </w:rPr>
      </w:pPr>
      <w:r>
        <w:rPr>
          <w:rFonts w:hint="eastAsia" w:ascii="宋体" w:hAnsi="宋体" w:cs="宋体"/>
          <w:kern w:val="0"/>
          <w:szCs w:val="21"/>
          <w:lang w:val="en-US" w:eastAsia="zh-CN"/>
        </w:rPr>
        <w:t>01：</w:t>
      </w:r>
      <w:r>
        <w:rPr>
          <w:rFonts w:hint="eastAsia" w:ascii="宋体" w:hAnsi="宋体" w:cs="宋体"/>
          <w:kern w:val="0"/>
          <w:szCs w:val="21"/>
        </w:rPr>
        <w:t>在</w:t>
      </w:r>
      <w:r>
        <w:rPr>
          <w:rFonts w:hint="eastAsia" w:ascii="宋体" w:hAnsi="宋体" w:cs="宋体"/>
          <w:kern w:val="0"/>
          <w:szCs w:val="21"/>
          <w:lang w:val="en-US" w:eastAsia="zh-CN"/>
        </w:rPr>
        <w:t>办公室</w:t>
      </w:r>
      <w:r>
        <w:rPr>
          <w:rFonts w:hint="eastAsia" w:ascii="宋体" w:hAnsi="宋体" w:cs="宋体"/>
          <w:kern w:val="0"/>
          <w:szCs w:val="21"/>
        </w:rPr>
        <w:t>发现</w:t>
      </w:r>
      <w:r>
        <w:rPr>
          <w:rFonts w:hint="eastAsia" w:ascii="宋体" w:hAnsi="宋体" w:cs="宋体"/>
          <w:kern w:val="0"/>
          <w:szCs w:val="21"/>
          <w:lang w:val="en-US" w:eastAsia="zh-CN"/>
        </w:rPr>
        <w:t>正在使用的</w:t>
      </w:r>
      <w:r>
        <w:rPr>
          <w:rFonts w:hint="eastAsia" w:ascii="宋体" w:hAnsi="宋体" w:cs="宋体"/>
          <w:kern w:val="0"/>
          <w:szCs w:val="21"/>
        </w:rPr>
        <w:t>标准GB</w:t>
      </w:r>
      <w:r>
        <w:rPr>
          <w:rFonts w:hint="eastAsia" w:ascii="宋体" w:hAnsi="宋体" w:cs="宋体"/>
          <w:kern w:val="0"/>
          <w:szCs w:val="21"/>
          <w:lang w:val="en-US" w:eastAsia="zh-CN"/>
        </w:rPr>
        <w:t>7251.3-2006</w:t>
      </w:r>
      <w:r>
        <w:rPr>
          <w:rFonts w:hint="eastAsia" w:ascii="宋体" w:hAnsi="宋体" w:cs="宋体"/>
          <w:kern w:val="0"/>
          <w:szCs w:val="21"/>
        </w:rPr>
        <w:t>《</w:t>
      </w:r>
      <w:r>
        <w:rPr>
          <w:rFonts w:hint="eastAsia" w:ascii="宋体" w:hAnsi="宋体" w:cs="宋体"/>
          <w:kern w:val="0"/>
          <w:szCs w:val="21"/>
          <w:lang w:val="en-US" w:eastAsia="zh-CN"/>
        </w:rPr>
        <w:t>低压成套开关设备和控制设备第3部分：对非专业人员可进入场地的低压成套开关设备和控制设备-配电板的特殊要求</w:t>
      </w:r>
      <w:r>
        <w:rPr>
          <w:rFonts w:hint="eastAsia" w:ascii="宋体" w:hAnsi="宋体" w:cs="宋体"/>
          <w:kern w:val="0"/>
          <w:szCs w:val="21"/>
        </w:rPr>
        <w:t>》，该标准</w:t>
      </w:r>
      <w:r>
        <w:rPr>
          <w:rFonts w:hint="eastAsia" w:ascii="宋体" w:hAnsi="宋体" w:cs="宋体"/>
          <w:kern w:val="0"/>
          <w:szCs w:val="21"/>
          <w:lang w:val="en-US" w:eastAsia="zh-CN"/>
        </w:rPr>
        <w:t>已</w:t>
      </w:r>
      <w:r>
        <w:rPr>
          <w:rFonts w:hint="eastAsia" w:ascii="宋体" w:hAnsi="宋体" w:cs="宋体"/>
          <w:kern w:val="0"/>
          <w:szCs w:val="21"/>
        </w:rPr>
        <w:t>作废。不符合GB/T19022-2003标准中 6.2.1条款“制定新的程序或更改现有的程序应经授权批准并受控。程序应现行有效，需要时可获得和提供。”的规定要求。</w:t>
      </w:r>
      <w:r>
        <w:rPr>
          <w:rFonts w:ascii="宋体" w:hAnsi="宋体" w:cs="宋体"/>
          <w:kern w:val="0"/>
          <w:szCs w:val="21"/>
        </w:rPr>
        <w:t>不符</w:t>
      </w:r>
      <w:r>
        <w:rPr>
          <w:rFonts w:ascii="宋体" w:hAnsi="宋体" w:eastAsia="宋体" w:cs="宋体"/>
          <w:kern w:val="0"/>
          <w:szCs w:val="21"/>
        </w:rPr>
        <w:t>合</w:t>
      </w:r>
      <w:r>
        <w:rPr>
          <w:rStyle w:val="9"/>
          <w:rFonts w:ascii="宋体" w:hAnsi="宋体" w:eastAsia="宋体"/>
          <w:sz w:val="21"/>
          <w:szCs w:val="21"/>
          <w:lang w:val="zh-CN"/>
        </w:rPr>
        <w:t>审核准则</w:t>
      </w:r>
      <w:r>
        <w:rPr>
          <w:rFonts w:ascii="宋体" w:hAnsi="宋体" w:eastAsia="宋体" w:cs="宋体"/>
          <w:kern w:val="0"/>
          <w:szCs w:val="21"/>
        </w:rPr>
        <w:t>条</w:t>
      </w:r>
      <w:r>
        <w:rPr>
          <w:rFonts w:ascii="宋体" w:hAnsi="宋体" w:cs="宋体"/>
          <w:kern w:val="0"/>
          <w:szCs w:val="21"/>
        </w:rPr>
        <w:t>款号：</w:t>
      </w:r>
      <w:r>
        <w:rPr>
          <w:rFonts w:hint="eastAsia" w:ascii="宋体" w:hAnsi="宋体" w:cs="宋体"/>
          <w:kern w:val="0"/>
          <w:szCs w:val="21"/>
          <w:u w:val="none"/>
        </w:rPr>
        <w:t>GB/T 19022-2003标准的</w:t>
      </w:r>
      <w:r>
        <w:rPr>
          <w:rFonts w:hint="eastAsia" w:ascii="宋体" w:hAnsi="宋体" w:cs="宋体"/>
          <w:kern w:val="0"/>
          <w:szCs w:val="21"/>
          <w:u w:val="none"/>
          <w:lang w:eastAsia="zh-CN"/>
        </w:rPr>
        <w:t>“</w:t>
      </w:r>
      <w:r>
        <w:rPr>
          <w:rFonts w:hint="eastAsia" w:ascii="宋体" w:hAnsi="宋体" w:cs="宋体"/>
          <w:kern w:val="0"/>
          <w:szCs w:val="21"/>
          <w:u w:val="none"/>
        </w:rPr>
        <w:t>6.2.1</w:t>
      </w:r>
      <w:r>
        <w:rPr>
          <w:rFonts w:hint="eastAsia" w:ascii="宋体" w:hAnsi="宋体" w:cs="宋体"/>
          <w:kern w:val="0"/>
          <w:szCs w:val="21"/>
          <w:u w:val="none"/>
          <w:lang w:val="en-US" w:eastAsia="zh-CN"/>
        </w:rPr>
        <w:t>程序</w:t>
      </w:r>
      <w:r>
        <w:rPr>
          <w:rFonts w:hint="eastAsia" w:ascii="宋体" w:hAnsi="宋体" w:cs="宋体"/>
          <w:kern w:val="0"/>
          <w:szCs w:val="21"/>
          <w:u w:val="none"/>
          <w:lang w:eastAsia="zh-CN"/>
        </w:rPr>
        <w:t>”</w:t>
      </w:r>
      <w:r>
        <w:rPr>
          <w:rFonts w:hint="eastAsia" w:ascii="宋体" w:hAnsi="宋体" w:cs="宋体"/>
          <w:kern w:val="0"/>
          <w:szCs w:val="21"/>
          <w:u w:val="none"/>
          <w:lang w:val="en-US" w:eastAsia="zh-CN"/>
        </w:rPr>
        <w:t>条款的要求。</w:t>
      </w:r>
    </w:p>
    <w:p>
      <w:pPr>
        <w:keepNext w:val="0"/>
        <w:keepLines w:val="0"/>
        <w:pageBreakBefore w:val="0"/>
        <w:shd w:val="clear" w:color="auto" w:fill="FFFFFF"/>
        <w:kinsoku/>
        <w:wordWrap/>
        <w:overflowPunct/>
        <w:topLinePunct w:val="0"/>
        <w:autoSpaceDE/>
        <w:autoSpaceDN/>
        <w:bidi w:val="0"/>
        <w:adjustRightInd/>
        <w:snapToGrid/>
        <w:spacing w:line="336" w:lineRule="auto"/>
        <w:ind w:firstLine="420" w:firstLineChars="200"/>
        <w:textAlignment w:val="auto"/>
        <w:rPr>
          <w:rFonts w:cs="宋体" w:asciiTheme="minorEastAsia" w:hAnsiTheme="minorEastAsia"/>
          <w:color w:val="0070C0"/>
          <w:kern w:val="0"/>
          <w:szCs w:val="21"/>
        </w:rPr>
      </w:pPr>
      <w:r>
        <w:rPr>
          <w:rFonts w:hint="eastAsia" w:ascii="Times New Roman" w:hAnsi="Times New Roman" w:eastAsia="宋体" w:cs="Times New Roman"/>
          <w:b w:val="0"/>
          <w:bCs/>
          <w:color w:val="auto"/>
          <w:sz w:val="21"/>
          <w:szCs w:val="21"/>
          <w:shd w:val="clear" w:color="auto" w:fill="FFFFFF"/>
          <w:lang w:val="en-US" w:eastAsia="zh-CN"/>
        </w:rPr>
        <w:t>经确认上述1项不符合已进行原因分析，制定并实施了纠正措施，已经将现行版本的</w:t>
      </w:r>
      <w:r>
        <w:rPr>
          <w:rFonts w:hint="eastAsia" w:ascii="宋体" w:hAnsi="宋体" w:cs="宋体"/>
          <w:kern w:val="0"/>
          <w:szCs w:val="21"/>
        </w:rPr>
        <w:t>GB</w:t>
      </w:r>
      <w:r>
        <w:rPr>
          <w:rFonts w:hint="eastAsia" w:ascii="宋体" w:hAnsi="宋体" w:cs="宋体"/>
          <w:kern w:val="0"/>
          <w:szCs w:val="21"/>
          <w:lang w:val="en-US" w:eastAsia="zh-CN"/>
        </w:rPr>
        <w:t>7251.3-2017标准下发到办公室，</w:t>
      </w:r>
      <w:r>
        <w:rPr>
          <w:rFonts w:hint="eastAsia" w:ascii="Times New Roman" w:hAnsi="Times New Roman" w:eastAsia="宋体" w:cs="Times New Roman"/>
          <w:b w:val="0"/>
          <w:bCs/>
          <w:color w:val="auto"/>
          <w:sz w:val="21"/>
          <w:szCs w:val="21"/>
          <w:shd w:val="clear" w:color="auto" w:fill="FFFFFF"/>
          <w:lang w:val="en-US" w:eastAsia="zh-CN"/>
        </w:rPr>
        <w:t>经验证不合格控制有效，不符合项关闭，符合要求。</w:t>
      </w:r>
      <w:r>
        <w:rPr>
          <w:rFonts w:cs="宋体" w:asciiTheme="minorEastAsia" w:hAnsiTheme="minorEastAsia"/>
          <w:color w:val="0070C0"/>
          <w:kern w:val="0"/>
          <w:szCs w:val="21"/>
        </w:rPr>
        <w:t> </w:t>
      </w:r>
    </w:p>
    <w:p>
      <w:pPr>
        <w:keepNext w:val="0"/>
        <w:keepLines w:val="0"/>
        <w:pageBreakBefore w:val="0"/>
        <w:widowControl/>
        <w:numPr>
          <w:ilvl w:val="0"/>
          <w:numId w:val="0"/>
        </w:numPr>
        <w:kinsoku/>
        <w:wordWrap/>
        <w:overflowPunct/>
        <w:topLinePunct w:val="0"/>
        <w:autoSpaceDE/>
        <w:autoSpaceDN/>
        <w:bidi w:val="0"/>
        <w:adjustRightInd/>
        <w:spacing w:line="336" w:lineRule="auto"/>
        <w:textAlignment w:val="auto"/>
        <w:rPr>
          <w:rFonts w:cs="宋体" w:asciiTheme="minorEastAsia" w:hAnsiTheme="minorEastAsia"/>
          <w:b/>
          <w:bCs/>
          <w:color w:val="auto"/>
          <w:kern w:val="0"/>
          <w:szCs w:val="21"/>
        </w:rPr>
      </w:pPr>
      <w:r>
        <w:rPr>
          <w:rFonts w:hint="eastAsia" w:cs="宋体" w:asciiTheme="minorEastAsia" w:hAnsiTheme="minorEastAsia"/>
          <w:b/>
          <w:bCs/>
          <w:color w:val="auto"/>
          <w:kern w:val="0"/>
          <w:szCs w:val="21"/>
          <w:lang w:val="en-US" w:eastAsia="zh-CN"/>
        </w:rPr>
        <w:t>6.</w:t>
      </w:r>
      <w:r>
        <w:rPr>
          <w:rFonts w:hint="eastAsia" w:cs="宋体" w:asciiTheme="minorEastAsia" w:hAnsiTheme="minorEastAsia"/>
          <w:b/>
          <w:bCs/>
          <w:color w:val="auto"/>
          <w:kern w:val="0"/>
          <w:szCs w:val="21"/>
        </w:rPr>
        <w:t>对</w:t>
      </w:r>
      <w:r>
        <w:rPr>
          <w:rFonts w:hint="eastAsia" w:asciiTheme="minorEastAsia" w:hAnsiTheme="minorEastAsia"/>
          <w:b/>
          <w:bCs/>
          <w:color w:val="auto"/>
          <w:szCs w:val="21"/>
        </w:rPr>
        <w:t>投诉的处理</w:t>
      </w:r>
      <w:r>
        <w:rPr>
          <w:rFonts w:cs="宋体" w:asciiTheme="minorEastAsia" w:hAnsiTheme="minorEastAsia"/>
          <w:b/>
          <w:bCs/>
          <w:color w:val="auto"/>
          <w:kern w:val="0"/>
          <w:szCs w:val="21"/>
        </w:rPr>
        <w:t>情况：</w:t>
      </w:r>
    </w:p>
    <w:p>
      <w:pPr>
        <w:keepNext w:val="0"/>
        <w:keepLines w:val="0"/>
        <w:pageBreakBefore w:val="0"/>
        <w:widowControl/>
        <w:kinsoku/>
        <w:wordWrap/>
        <w:overflowPunct/>
        <w:topLinePunct w:val="0"/>
        <w:autoSpaceDE/>
        <w:autoSpaceDN/>
        <w:bidi w:val="0"/>
        <w:adjustRightInd/>
        <w:spacing w:line="336" w:lineRule="auto"/>
        <w:ind w:firstLine="420" w:firstLineChars="200"/>
        <w:textAlignment w:val="auto"/>
        <w:rPr>
          <w:rFonts w:ascii="宋体" w:hAnsi="宋体" w:cs="宋体"/>
          <w:bCs/>
          <w:color w:val="0070C0"/>
          <w:kern w:val="0"/>
          <w:szCs w:val="21"/>
        </w:rPr>
      </w:pPr>
      <w:r>
        <w:rPr>
          <w:rFonts w:hint="eastAsia" w:ascii="宋体" w:hAnsi="宋体"/>
          <w:szCs w:val="21"/>
        </w:rPr>
        <w:t>企业在产品质量、物料交接、能源、安全、现场管理等方面</w:t>
      </w:r>
      <w:r>
        <w:rPr>
          <w:rFonts w:hint="eastAsia" w:ascii="宋体" w:hAnsi="宋体"/>
          <w:szCs w:val="21"/>
          <w:lang w:val="en-US" w:eastAsia="zh-CN"/>
        </w:rPr>
        <w:t>无</w:t>
      </w:r>
      <w:r>
        <w:rPr>
          <w:rFonts w:hint="eastAsia" w:ascii="宋体" w:hAnsi="宋体"/>
          <w:szCs w:val="21"/>
        </w:rPr>
        <w:t>顾客投诉、纠纷</w:t>
      </w:r>
      <w:r>
        <w:rPr>
          <w:rFonts w:hint="eastAsia" w:ascii="宋体" w:hAnsi="宋体"/>
          <w:szCs w:val="21"/>
          <w:lang w:val="en-US" w:eastAsia="zh-CN"/>
        </w:rPr>
        <w:t>情况发生；</w:t>
      </w:r>
      <w:r>
        <w:rPr>
          <w:rFonts w:hint="eastAsia"/>
          <w:bCs/>
          <w:color w:val="auto"/>
          <w:szCs w:val="21"/>
        </w:rPr>
        <w:t>未有</w:t>
      </w:r>
      <w:r>
        <w:rPr>
          <w:rFonts w:ascii="宋体" w:hAnsi="宋体" w:cs="宋体"/>
          <w:bCs/>
          <w:color w:val="auto"/>
          <w:kern w:val="0"/>
          <w:szCs w:val="21"/>
        </w:rPr>
        <w:t>违反法律</w:t>
      </w:r>
      <w:r>
        <w:rPr>
          <w:rFonts w:hint="eastAsia" w:ascii="宋体" w:hAnsi="宋体" w:cs="宋体"/>
          <w:bCs/>
          <w:color w:val="auto"/>
          <w:kern w:val="0"/>
          <w:szCs w:val="21"/>
        </w:rPr>
        <w:t>、</w:t>
      </w:r>
      <w:r>
        <w:rPr>
          <w:rFonts w:ascii="宋体" w:hAnsi="宋体" w:cs="宋体"/>
          <w:bCs/>
          <w:color w:val="auto"/>
          <w:kern w:val="0"/>
          <w:szCs w:val="21"/>
        </w:rPr>
        <w:t>法规</w:t>
      </w:r>
      <w:r>
        <w:rPr>
          <w:rFonts w:hint="eastAsia" w:ascii="宋体" w:hAnsi="宋体" w:cs="宋体"/>
          <w:bCs/>
          <w:color w:val="auto"/>
          <w:kern w:val="0"/>
          <w:szCs w:val="21"/>
        </w:rPr>
        <w:t>问题</w:t>
      </w:r>
      <w:r>
        <w:rPr>
          <w:rFonts w:hint="eastAsia" w:ascii="宋体" w:hAnsi="宋体" w:cs="宋体"/>
          <w:bCs/>
          <w:color w:val="auto"/>
          <w:kern w:val="0"/>
          <w:szCs w:val="21"/>
          <w:lang w:val="en-US" w:eastAsia="zh-CN"/>
        </w:rPr>
        <w:t>或</w:t>
      </w:r>
      <w:r>
        <w:rPr>
          <w:rFonts w:ascii="宋体" w:hAnsi="宋体" w:cs="宋体"/>
          <w:bCs/>
          <w:color w:val="auto"/>
          <w:kern w:val="0"/>
          <w:szCs w:val="21"/>
        </w:rPr>
        <w:t>重大</w:t>
      </w:r>
      <w:r>
        <w:rPr>
          <w:rFonts w:hint="eastAsia" w:ascii="宋体" w:hAnsi="宋体" w:cs="宋体"/>
          <w:bCs/>
          <w:color w:val="auto"/>
          <w:kern w:val="0"/>
          <w:szCs w:val="21"/>
        </w:rPr>
        <w:t>质量</w:t>
      </w:r>
      <w:r>
        <w:rPr>
          <w:rFonts w:ascii="宋体" w:hAnsi="宋体" w:cs="宋体"/>
          <w:bCs/>
          <w:color w:val="auto"/>
          <w:kern w:val="0"/>
          <w:szCs w:val="21"/>
        </w:rPr>
        <w:t>事故</w:t>
      </w:r>
      <w:r>
        <w:rPr>
          <w:rFonts w:hint="eastAsia" w:ascii="宋体" w:hAnsi="宋体" w:cs="宋体"/>
          <w:bCs/>
          <w:color w:val="auto"/>
          <w:kern w:val="0"/>
          <w:szCs w:val="21"/>
        </w:rPr>
        <w:t>发生。</w:t>
      </w:r>
    </w:p>
    <w:p>
      <w:pPr>
        <w:keepNext w:val="0"/>
        <w:keepLines w:val="0"/>
        <w:pageBreakBefore w:val="0"/>
        <w:widowControl/>
        <w:numPr>
          <w:ilvl w:val="0"/>
          <w:numId w:val="0"/>
        </w:numPr>
        <w:kinsoku/>
        <w:wordWrap/>
        <w:overflowPunct/>
        <w:topLinePunct w:val="0"/>
        <w:autoSpaceDE/>
        <w:autoSpaceDN/>
        <w:bidi w:val="0"/>
        <w:adjustRightInd/>
        <w:spacing w:line="336" w:lineRule="auto"/>
        <w:textAlignment w:val="auto"/>
        <w:rPr>
          <w:rFonts w:cs="宋体" w:asciiTheme="minorEastAsia" w:hAnsiTheme="minorEastAsia"/>
          <w:b/>
          <w:bCs w:val="0"/>
          <w:color w:val="auto"/>
          <w:kern w:val="0"/>
          <w:szCs w:val="21"/>
        </w:rPr>
      </w:pPr>
      <w:r>
        <w:rPr>
          <w:rFonts w:hint="eastAsia" w:asciiTheme="minorEastAsia" w:hAnsiTheme="minorEastAsia"/>
          <w:b/>
          <w:bCs w:val="0"/>
          <w:color w:val="auto"/>
          <w:szCs w:val="21"/>
          <w:lang w:val="en-US" w:eastAsia="zh-CN"/>
        </w:rPr>
        <w:t>7.</w:t>
      </w:r>
      <w:r>
        <w:rPr>
          <w:rFonts w:hint="eastAsia" w:asciiTheme="minorEastAsia" w:hAnsiTheme="minorEastAsia"/>
          <w:b/>
          <w:bCs w:val="0"/>
          <w:color w:val="auto"/>
          <w:szCs w:val="21"/>
        </w:rPr>
        <w:t>测量管理体系在实现获证客户目标方面的有效性及持续的运作控制</w:t>
      </w:r>
      <w:r>
        <w:rPr>
          <w:rFonts w:cs="宋体" w:asciiTheme="minorEastAsia" w:hAnsiTheme="minorEastAsia"/>
          <w:b/>
          <w:bCs w:val="0"/>
          <w:color w:val="auto"/>
          <w:kern w:val="0"/>
          <w:szCs w:val="21"/>
        </w:rPr>
        <w:t>情况：</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kern w:val="0"/>
          <w:sz w:val="21"/>
          <w:szCs w:val="21"/>
        </w:rPr>
        <w:t>7.1.企业</w:t>
      </w:r>
      <w:r>
        <w:rPr>
          <w:rFonts w:hint="default" w:ascii="Times New Roman" w:hAnsi="Times New Roman" w:eastAsia="宋体" w:cs="Times New Roman"/>
          <w:bCs/>
          <w:sz w:val="21"/>
          <w:szCs w:val="21"/>
        </w:rPr>
        <w:t>领导层重视测量管理体系各项工作，职能部门</w:t>
      </w:r>
      <w:r>
        <w:rPr>
          <w:rFonts w:hint="default" w:ascii="Times New Roman" w:hAnsi="Times New Roman" w:eastAsia="宋体" w:cs="Times New Roman"/>
          <w:bCs/>
          <w:sz w:val="21"/>
          <w:szCs w:val="21"/>
          <w:lang w:val="en-US" w:eastAsia="zh-CN"/>
        </w:rPr>
        <w:t>的</w:t>
      </w:r>
      <w:r>
        <w:rPr>
          <w:rFonts w:hint="default" w:ascii="Times New Roman" w:hAnsi="Times New Roman" w:eastAsia="宋体" w:cs="Times New Roman"/>
          <w:bCs/>
          <w:sz w:val="21"/>
          <w:szCs w:val="21"/>
        </w:rPr>
        <w:t>职能作用发挥较好，测量管理体系运行正常，并持续符合相关法律、法规的要求。</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lang w:val="en-US" w:eastAsia="zh-CN"/>
        </w:rPr>
        <w:t>7.2</w:t>
      </w:r>
      <w:r>
        <w:rPr>
          <w:rFonts w:hint="default" w:ascii="Times New Roman" w:hAnsi="Times New Roman" w:eastAsia="宋体" w:cs="Times New Roman"/>
          <w:bCs/>
          <w:sz w:val="21"/>
          <w:szCs w:val="21"/>
          <w:highlight w:val="none"/>
        </w:rPr>
        <w:t>企业制</w:t>
      </w:r>
      <w:r>
        <w:rPr>
          <w:rFonts w:hint="default" w:ascii="Times New Roman" w:hAnsi="Times New Roman" w:eastAsia="宋体" w:cs="Times New Roman"/>
          <w:bCs/>
          <w:color w:val="auto"/>
          <w:sz w:val="21"/>
          <w:szCs w:val="21"/>
          <w:highlight w:val="none"/>
        </w:rPr>
        <w:t>定了</w:t>
      </w:r>
      <w:r>
        <w:rPr>
          <w:rFonts w:hint="eastAsia" w:ascii="Times New Roman" w:hAnsi="Times New Roman" w:eastAsia="宋体" w:cs="Times New Roman"/>
          <w:bCs/>
          <w:color w:val="auto"/>
          <w:sz w:val="21"/>
          <w:szCs w:val="21"/>
          <w:highlight w:val="none"/>
          <w:lang w:val="en-US" w:eastAsia="zh-CN"/>
        </w:rPr>
        <w:t>5</w:t>
      </w:r>
      <w:r>
        <w:rPr>
          <w:rFonts w:hint="default" w:ascii="Times New Roman" w:hAnsi="Times New Roman" w:eastAsia="宋体" w:cs="Times New Roman"/>
          <w:bCs/>
          <w:color w:val="auto"/>
          <w:sz w:val="21"/>
          <w:szCs w:val="21"/>
          <w:highlight w:val="none"/>
        </w:rPr>
        <w:t>项质量目标</w:t>
      </w:r>
      <w:r>
        <w:rPr>
          <w:rFonts w:hint="eastAsia" w:ascii="Times New Roman" w:hAnsi="Times New Roman" w:eastAsia="宋体" w:cs="Times New Roman"/>
          <w:bCs/>
          <w:color w:val="auto"/>
          <w:sz w:val="21"/>
          <w:szCs w:val="21"/>
          <w:highlight w:val="none"/>
          <w:lang w:eastAsia="zh-CN"/>
        </w:rPr>
        <w:t>，</w:t>
      </w:r>
      <w:r>
        <w:rPr>
          <w:rFonts w:hint="eastAsia" w:ascii="Times New Roman" w:hAnsi="Times New Roman" w:eastAsia="宋体" w:cs="Times New Roman"/>
          <w:bCs/>
          <w:color w:val="auto"/>
          <w:sz w:val="21"/>
          <w:szCs w:val="21"/>
          <w:highlight w:val="none"/>
          <w:lang w:val="en-US" w:eastAsia="zh-CN"/>
        </w:rPr>
        <w:t>有具体指标、</w:t>
      </w:r>
      <w:r>
        <w:rPr>
          <w:rFonts w:hint="eastAsia" w:ascii="宋体" w:hAnsi="宋体"/>
          <w:bCs/>
          <w:szCs w:val="21"/>
          <w:highlight w:val="none"/>
        </w:rPr>
        <w:t>可测量</w:t>
      </w:r>
      <w:r>
        <w:rPr>
          <w:rFonts w:hint="eastAsia" w:ascii="宋体" w:hAnsi="宋体"/>
          <w:bCs/>
          <w:szCs w:val="21"/>
          <w:highlight w:val="none"/>
          <w:lang w:eastAsia="zh-CN"/>
        </w:rPr>
        <w:t>，</w:t>
      </w:r>
      <w:r>
        <w:rPr>
          <w:rFonts w:hint="eastAsia" w:ascii="宋体" w:hAnsi="宋体"/>
          <w:bCs/>
          <w:szCs w:val="21"/>
          <w:highlight w:val="none"/>
          <w:lang w:val="en-US" w:eastAsia="zh-CN"/>
        </w:rPr>
        <w:t>分解到企业4各部门。查《2021年度测量管理体系质量目标完成情况统计表</w:t>
      </w:r>
      <w:r>
        <w:rPr>
          <w:rFonts w:hint="eastAsia" w:ascii="宋体" w:hAnsi="宋体"/>
          <w:color w:val="auto"/>
          <w:szCs w:val="21"/>
          <w:highlight w:val="none"/>
          <w:lang w:val="en-US" w:eastAsia="zh-CN"/>
        </w:rPr>
        <w:t>》，按月统计，</w:t>
      </w:r>
      <w:r>
        <w:rPr>
          <w:rFonts w:hint="eastAsia" w:ascii="Times New Roman" w:hAnsi="Times New Roman" w:eastAsia="宋体" w:cs="Times New Roman"/>
          <w:bCs/>
          <w:color w:val="auto"/>
          <w:sz w:val="21"/>
          <w:szCs w:val="21"/>
          <w:highlight w:val="none"/>
          <w:lang w:val="en-US" w:eastAsia="zh-CN"/>
        </w:rPr>
        <w:t>各项质量目标均已完成</w:t>
      </w:r>
      <w:r>
        <w:rPr>
          <w:rFonts w:hint="eastAsia" w:ascii="Times New Roman" w:hAnsi="Times New Roman" w:eastAsia="宋体" w:cs="Times New Roman"/>
          <w:bCs/>
          <w:color w:val="auto"/>
          <w:sz w:val="21"/>
          <w:szCs w:val="21"/>
          <w:highlight w:val="none"/>
          <w:lang w:eastAsia="zh-CN"/>
        </w:rPr>
        <w:t>。</w:t>
      </w:r>
      <w:r>
        <w:rPr>
          <w:rFonts w:hint="eastAsia" w:ascii="Times New Roman" w:hAnsi="Times New Roman" w:eastAsia="宋体" w:cs="Times New Roman"/>
          <w:bCs/>
          <w:color w:val="auto"/>
          <w:sz w:val="21"/>
          <w:szCs w:val="21"/>
          <w:highlight w:val="none"/>
          <w:lang w:val="en-US" w:eastAsia="zh-CN"/>
        </w:rPr>
        <w:t>符合要求。</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hint="eastAsia"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sz w:val="21"/>
          <w:szCs w:val="21"/>
          <w:highlight w:val="none"/>
        </w:rPr>
        <w:t>7.</w:t>
      </w:r>
      <w:r>
        <w:rPr>
          <w:rFonts w:hint="default" w:ascii="Times New Roman" w:hAnsi="Times New Roman" w:eastAsia="宋体" w:cs="Times New Roman"/>
          <w:bCs/>
          <w:sz w:val="21"/>
          <w:szCs w:val="21"/>
          <w:highlight w:val="none"/>
          <w:lang w:val="en-US" w:eastAsia="zh-CN"/>
        </w:rPr>
        <w:t>3</w:t>
      </w:r>
      <w:r>
        <w:rPr>
          <w:rFonts w:hint="default" w:ascii="Times New Roman" w:hAnsi="Times New Roman" w:eastAsia="宋体" w:cs="Times New Roman"/>
          <w:bCs/>
          <w:color w:val="000000"/>
          <w:kern w:val="0"/>
          <w:sz w:val="21"/>
          <w:szCs w:val="21"/>
          <w:highlight w:val="none"/>
          <w:lang w:val="en-US" w:eastAsia="zh-CN"/>
        </w:rPr>
        <w:t>企业本监督年度内</w:t>
      </w:r>
      <w:r>
        <w:rPr>
          <w:rFonts w:hint="default" w:ascii="Times New Roman" w:hAnsi="Times New Roman" w:eastAsia="宋体" w:cs="Times New Roman"/>
          <w:bCs/>
          <w:color w:val="auto"/>
          <w:kern w:val="0"/>
          <w:sz w:val="21"/>
          <w:szCs w:val="21"/>
          <w:highlight w:val="none"/>
          <w:lang w:val="en-US" w:eastAsia="zh-CN"/>
        </w:rPr>
        <w:t>无新增外部供方</w:t>
      </w:r>
      <w:r>
        <w:rPr>
          <w:rFonts w:hint="eastAsia" w:ascii="Times New Roman" w:hAnsi="Times New Roman" w:eastAsia="宋体" w:cs="Times New Roman"/>
          <w:bCs/>
          <w:color w:val="auto"/>
          <w:kern w:val="0"/>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rPr>
        <w:t>查</w:t>
      </w:r>
      <w:r>
        <w:rPr>
          <w:rFonts w:hint="default" w:ascii="Times New Roman" w:hAnsi="Times New Roman" w:eastAsia="宋体" w:cs="Times New Roman"/>
          <w:bCs/>
          <w:color w:val="auto"/>
          <w:sz w:val="21"/>
          <w:szCs w:val="21"/>
          <w:highlight w:val="none"/>
          <w:lang w:val="en-US" w:eastAsia="zh-CN"/>
        </w:rPr>
        <w:t>企业的</w:t>
      </w:r>
      <w:r>
        <w:rPr>
          <w:rFonts w:hint="eastAsia" w:ascii="Times New Roman" w:hAnsi="Times New Roman" w:eastAsia="宋体" w:cs="Times New Roman"/>
          <w:bCs/>
          <w:color w:val="auto"/>
          <w:sz w:val="21"/>
          <w:szCs w:val="21"/>
          <w:highlight w:val="none"/>
          <w:lang w:val="en-US" w:eastAsia="zh-CN"/>
        </w:rPr>
        <w:t>主要原材辅料</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合格供方名录</w:t>
      </w:r>
      <w:r>
        <w:rPr>
          <w:rFonts w:hint="default" w:ascii="Times New Roman" w:hAnsi="Times New Roman" w:eastAsia="宋体" w:cs="Times New Roman"/>
          <w:bCs/>
          <w:color w:val="auto"/>
          <w:sz w:val="21"/>
          <w:szCs w:val="21"/>
          <w:highlight w:val="none"/>
        </w:rPr>
        <w:t>》，</w:t>
      </w:r>
      <w:r>
        <w:rPr>
          <w:rFonts w:hint="eastAsia" w:ascii="Times New Roman" w:hAnsi="Times New Roman" w:eastAsia="宋体" w:cs="Times New Roman"/>
          <w:bCs/>
          <w:color w:val="auto"/>
          <w:sz w:val="21"/>
          <w:szCs w:val="21"/>
          <w:highlight w:val="none"/>
          <w:lang w:val="en-US" w:eastAsia="zh-CN"/>
        </w:rPr>
        <w:t>共21家合格供应商。抽查编号为JL-8.4-02的《供方评定记录》，供方名称为：河北中兴金属材料有限公司，供应的产品为：铜排，企业从供方的生产能力、检验能力等6个方面进行了评价，结论为：列为合格供方。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sz w:val="21"/>
          <w:szCs w:val="21"/>
          <w:highlight w:val="none"/>
          <w:lang w:val="en-US" w:eastAsia="zh-CN"/>
        </w:rPr>
        <w:t>查企业的测量设备《合格供方台账》共8</w:t>
      </w:r>
      <w:bookmarkStart w:id="11" w:name="_GoBack"/>
      <w:bookmarkEnd w:id="11"/>
      <w:r>
        <w:rPr>
          <w:rFonts w:hint="eastAsia" w:ascii="Times New Roman" w:hAnsi="Times New Roman" w:eastAsia="宋体" w:cs="Times New Roman"/>
          <w:bCs/>
          <w:sz w:val="21"/>
          <w:szCs w:val="21"/>
          <w:highlight w:val="none"/>
          <w:lang w:val="en-US" w:eastAsia="zh-CN"/>
        </w:rPr>
        <w:t>家供应商，</w:t>
      </w:r>
      <w:r>
        <w:rPr>
          <w:rFonts w:hint="eastAsia" w:ascii="Times New Roman" w:hAnsi="Times New Roman" w:eastAsia="宋体" w:cs="Times New Roman"/>
          <w:bCs/>
          <w:color w:val="auto"/>
          <w:sz w:val="21"/>
          <w:szCs w:val="21"/>
          <w:highlight w:val="none"/>
          <w:lang w:val="en-US" w:eastAsia="zh-CN"/>
        </w:rPr>
        <w:t>抽查《测量设备供方资质及能力评价表》，供方名称为：桂林量具刃具有限责任公司，供应的产品为：游标卡尺，企业对该供方的资质、产品实物质量等进行了评价，结论为：测量设备供方资质、能力符合要求。</w:t>
      </w:r>
    </w:p>
    <w:p>
      <w:pPr>
        <w:keepNext w:val="0"/>
        <w:keepLines w:val="0"/>
        <w:pageBreakBefore w:val="0"/>
        <w:widowControl/>
        <w:numPr>
          <w:ilvl w:val="0"/>
          <w:numId w:val="0"/>
        </w:numPr>
        <w:kinsoku/>
        <w:wordWrap/>
        <w:overflowPunct/>
        <w:topLinePunct w:val="0"/>
        <w:autoSpaceDE/>
        <w:autoSpaceDN/>
        <w:bidi w:val="0"/>
        <w:adjustRightInd/>
        <w:spacing w:line="336" w:lineRule="auto"/>
        <w:textAlignment w:val="auto"/>
        <w:rPr>
          <w:rFonts w:asciiTheme="minorEastAsia" w:hAnsiTheme="minorEastAsia"/>
          <w:bCs/>
          <w:color w:val="auto"/>
          <w:szCs w:val="21"/>
        </w:rPr>
      </w:pPr>
      <w:r>
        <w:rPr>
          <w:rFonts w:hint="eastAsia" w:asciiTheme="minorEastAsia" w:hAnsiTheme="minorEastAsia"/>
          <w:b/>
          <w:bCs w:val="0"/>
          <w:color w:val="auto"/>
          <w:szCs w:val="21"/>
          <w:lang w:val="en-US" w:eastAsia="zh-CN"/>
        </w:rPr>
        <w:t>8.</w:t>
      </w:r>
      <w:r>
        <w:rPr>
          <w:rFonts w:hint="eastAsia" w:asciiTheme="minorEastAsia" w:hAnsiTheme="minorEastAsia"/>
          <w:b/>
          <w:bCs w:val="0"/>
          <w:color w:val="auto"/>
          <w:szCs w:val="21"/>
        </w:rPr>
        <w:t>对企业组织任何变更的审核</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企业</w:t>
      </w:r>
      <w:r>
        <w:rPr>
          <w:rFonts w:hint="default" w:ascii="Times New Roman" w:hAnsi="Times New Roman" w:eastAsia="宋体" w:cs="Times New Roman"/>
          <w:bCs/>
          <w:color w:val="auto"/>
          <w:sz w:val="21"/>
          <w:szCs w:val="21"/>
          <w:highlight w:val="none"/>
          <w:lang w:val="en-US" w:eastAsia="zh-CN"/>
        </w:rPr>
        <w:t>的</w:t>
      </w:r>
      <w:r>
        <w:rPr>
          <w:rFonts w:hint="default" w:ascii="Times New Roman" w:hAnsi="Times New Roman" w:eastAsia="宋体" w:cs="Times New Roman"/>
          <w:bCs/>
          <w:color w:val="auto"/>
          <w:sz w:val="21"/>
          <w:szCs w:val="21"/>
          <w:highlight w:val="none"/>
        </w:rPr>
        <w:t>组织机构</w:t>
      </w:r>
      <w:r>
        <w:rPr>
          <w:rFonts w:hint="eastAsia" w:ascii="Times New Roman" w:hAnsi="Times New Roman" w:eastAsia="宋体" w:cs="Times New Roman"/>
          <w:bCs/>
          <w:color w:val="auto"/>
          <w:sz w:val="21"/>
          <w:szCs w:val="21"/>
          <w:highlight w:val="none"/>
          <w:lang w:val="en-US" w:eastAsia="zh-CN"/>
        </w:rPr>
        <w:t>未发生变更，企业的产品没有增加。</w:t>
      </w:r>
    </w:p>
    <w:p>
      <w:pPr>
        <w:keepNext w:val="0"/>
        <w:keepLines w:val="0"/>
        <w:pageBreakBefore w:val="0"/>
        <w:widowControl/>
        <w:numPr>
          <w:ilvl w:val="0"/>
          <w:numId w:val="0"/>
        </w:numPr>
        <w:kinsoku/>
        <w:wordWrap/>
        <w:overflowPunct/>
        <w:topLinePunct w:val="0"/>
        <w:autoSpaceDE/>
        <w:autoSpaceDN/>
        <w:bidi w:val="0"/>
        <w:adjustRightInd/>
        <w:spacing w:line="336" w:lineRule="auto"/>
        <w:textAlignment w:val="auto"/>
        <w:rPr>
          <w:rFonts w:cs="宋体" w:asciiTheme="minorEastAsia" w:hAnsiTheme="minorEastAsia"/>
          <w:b/>
          <w:bCs w:val="0"/>
          <w:color w:val="auto"/>
          <w:kern w:val="0"/>
          <w:szCs w:val="21"/>
        </w:rPr>
      </w:pPr>
      <w:r>
        <w:rPr>
          <w:rFonts w:hint="eastAsia" w:asciiTheme="minorEastAsia" w:hAnsiTheme="minorEastAsia"/>
          <w:b/>
          <w:bCs w:val="0"/>
          <w:color w:val="auto"/>
          <w:szCs w:val="21"/>
          <w:lang w:val="en-US" w:eastAsia="zh-CN"/>
        </w:rPr>
        <w:t>9.</w:t>
      </w:r>
      <w:r>
        <w:rPr>
          <w:rFonts w:hint="eastAsia" w:asciiTheme="minorEastAsia" w:hAnsiTheme="minorEastAsia"/>
          <w:b/>
          <w:bCs w:val="0"/>
          <w:color w:val="auto"/>
          <w:szCs w:val="21"/>
        </w:rPr>
        <w:t>标志的使用和（或）任何其他对认证资</w:t>
      </w:r>
      <w:r>
        <w:rPr>
          <w:rFonts w:hint="eastAsia"/>
          <w:b/>
          <w:bCs w:val="0"/>
          <w:color w:val="auto"/>
        </w:rPr>
        <w:t>格引用</w:t>
      </w:r>
      <w:r>
        <w:rPr>
          <w:rFonts w:cs="宋体" w:asciiTheme="minorEastAsia" w:hAnsiTheme="minorEastAsia"/>
          <w:b/>
          <w:bCs w:val="0"/>
          <w:color w:val="auto"/>
          <w:kern w:val="0"/>
          <w:szCs w:val="21"/>
        </w:rPr>
        <w:t>的情况：</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rPr>
        <w:t>9.1.</w:t>
      </w:r>
      <w:r>
        <w:rPr>
          <w:rFonts w:hint="default" w:ascii="Times New Roman" w:hAnsi="Times New Roman" w:eastAsia="宋体" w:cs="Times New Roman"/>
          <w:kern w:val="0"/>
          <w:sz w:val="21"/>
          <w:szCs w:val="21"/>
          <w:lang w:eastAsia="zh-CN"/>
        </w:rPr>
        <w:t>企业</w:t>
      </w:r>
      <w:r>
        <w:rPr>
          <w:rFonts w:hint="default" w:ascii="Times New Roman" w:hAnsi="Times New Roman" w:eastAsia="宋体" w:cs="Times New Roman"/>
          <w:kern w:val="0"/>
          <w:sz w:val="21"/>
          <w:szCs w:val="21"/>
        </w:rPr>
        <w:t>对标志的使用，符合相关标准和规定</w:t>
      </w:r>
      <w:r>
        <w:rPr>
          <w:rFonts w:hint="default" w:ascii="Times New Roman" w:hAnsi="Times New Roman" w:eastAsia="宋体" w:cs="Times New Roman"/>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default" w:ascii="Times New Roman" w:hAnsi="Times New Roman" w:eastAsia="宋体" w:cs="Times New Roman"/>
          <w:bCs/>
          <w:sz w:val="21"/>
          <w:szCs w:val="21"/>
        </w:rPr>
      </w:pPr>
      <w:r>
        <w:rPr>
          <w:rFonts w:hint="default" w:ascii="Times New Roman" w:hAnsi="Times New Roman" w:eastAsia="宋体" w:cs="Times New Roman"/>
          <w:kern w:val="0"/>
          <w:sz w:val="21"/>
          <w:szCs w:val="21"/>
        </w:rPr>
        <w:t>9.2.</w:t>
      </w:r>
      <w:r>
        <w:rPr>
          <w:rFonts w:hint="default" w:ascii="Times New Roman" w:hAnsi="Times New Roman" w:eastAsia="宋体" w:cs="Times New Roman"/>
          <w:kern w:val="0"/>
          <w:sz w:val="21"/>
          <w:szCs w:val="21"/>
          <w:lang w:eastAsia="zh-CN"/>
        </w:rPr>
        <w:t>企业</w:t>
      </w:r>
      <w:r>
        <w:rPr>
          <w:rFonts w:hint="default" w:ascii="Times New Roman" w:hAnsi="Times New Roman" w:eastAsia="宋体" w:cs="Times New Roman"/>
          <w:kern w:val="0"/>
          <w:sz w:val="21"/>
          <w:szCs w:val="21"/>
        </w:rPr>
        <w:t>测量管理体系</w:t>
      </w:r>
      <w:r>
        <w:rPr>
          <w:rFonts w:hint="default" w:ascii="Times New Roman" w:hAnsi="Times New Roman" w:eastAsia="宋体" w:cs="Times New Roman"/>
          <w:kern w:val="0"/>
          <w:sz w:val="21"/>
          <w:szCs w:val="21"/>
          <w:lang w:val="en-US" w:eastAsia="zh-CN"/>
        </w:rPr>
        <w:t>的</w:t>
      </w:r>
      <w:r>
        <w:rPr>
          <w:rFonts w:hint="default" w:ascii="Times New Roman" w:hAnsi="Times New Roman" w:eastAsia="宋体" w:cs="Times New Roman"/>
          <w:kern w:val="0"/>
          <w:sz w:val="21"/>
          <w:szCs w:val="21"/>
        </w:rPr>
        <w:t>认证证书用于</w:t>
      </w:r>
      <w:r>
        <w:rPr>
          <w:rFonts w:hint="default" w:ascii="Times New Roman" w:hAnsi="Times New Roman" w:eastAsia="宋体" w:cs="Times New Roman"/>
          <w:bCs/>
          <w:sz w:val="21"/>
          <w:szCs w:val="21"/>
        </w:rPr>
        <w:t>开发国内市场及企业形象广告宣传。</w:t>
      </w:r>
    </w:p>
    <w:p>
      <w:pPr>
        <w:keepNext w:val="0"/>
        <w:keepLines w:val="0"/>
        <w:pageBreakBefore w:val="0"/>
        <w:kinsoku/>
        <w:wordWrap/>
        <w:overflowPunct/>
        <w:topLinePunct w:val="0"/>
        <w:autoSpaceDE/>
        <w:autoSpaceDN/>
        <w:bidi w:val="0"/>
        <w:adjustRightInd/>
        <w:snapToGrid w:val="0"/>
        <w:spacing w:line="336" w:lineRule="auto"/>
        <w:ind w:right="-512" w:rightChars="-244" w:firstLine="420" w:firstLineChars="200"/>
        <w:textAlignment w:val="auto"/>
        <w:rPr>
          <w:rFonts w:hint="default" w:ascii="Times New Roman" w:hAnsi="Times New Roman" w:eastAsia="宋体" w:cs="Times New Roman"/>
          <w:b/>
          <w:bCs/>
          <w:kern w:val="0"/>
          <w:sz w:val="21"/>
          <w:szCs w:val="21"/>
          <w:lang w:val="en-US" w:eastAsia="zh-CN"/>
        </w:rPr>
      </w:pPr>
      <w:r>
        <w:rPr>
          <w:rFonts w:hint="default" w:ascii="Times New Roman" w:hAnsi="Times New Roman" w:eastAsia="宋体" w:cs="Times New Roman"/>
          <w:kern w:val="0"/>
          <w:sz w:val="21"/>
          <w:szCs w:val="21"/>
        </w:rPr>
        <w:t>9.3企业</w:t>
      </w:r>
      <w:r>
        <w:rPr>
          <w:rFonts w:hint="default" w:ascii="Times New Roman" w:hAnsi="Times New Roman" w:eastAsia="宋体" w:cs="Times New Roman"/>
          <w:kern w:val="0"/>
          <w:sz w:val="21"/>
          <w:szCs w:val="21"/>
          <w:lang w:val="en-US" w:eastAsia="zh-CN"/>
        </w:rPr>
        <w:t>用于</w:t>
      </w:r>
      <w:r>
        <w:rPr>
          <w:rFonts w:hint="default" w:ascii="Times New Roman" w:hAnsi="Times New Roman" w:eastAsia="宋体" w:cs="Times New Roman"/>
          <w:kern w:val="0"/>
          <w:sz w:val="21"/>
          <w:szCs w:val="21"/>
        </w:rPr>
        <w:t>进行招投标。</w:t>
      </w:r>
    </w:p>
    <w:p>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Times New Roman" w:hAnsi="Times New Roman" w:eastAsia="宋体" w:cs="Times New Roman"/>
          <w:b/>
          <w:bCs/>
          <w:kern w:val="0"/>
          <w:sz w:val="21"/>
          <w:szCs w:val="21"/>
          <w:lang w:eastAsia="zh-CN"/>
        </w:rPr>
      </w:pPr>
      <w:r>
        <w:rPr>
          <w:rFonts w:hint="default" w:ascii="Times New Roman" w:hAnsi="Times New Roman" w:eastAsia="宋体" w:cs="Times New Roman"/>
          <w:b/>
          <w:bCs/>
          <w:kern w:val="0"/>
          <w:sz w:val="21"/>
          <w:szCs w:val="21"/>
          <w:lang w:val="en-US" w:eastAsia="zh-CN"/>
        </w:rPr>
        <w:t>10、</w:t>
      </w:r>
      <w:r>
        <w:rPr>
          <w:rFonts w:hint="default" w:ascii="Times New Roman" w:hAnsi="Times New Roman" w:eastAsia="宋体" w:cs="Times New Roman"/>
          <w:b/>
          <w:bCs/>
          <w:kern w:val="0"/>
          <w:sz w:val="21"/>
          <w:szCs w:val="21"/>
        </w:rPr>
        <w:t>本次监督审</w:t>
      </w:r>
      <w:r>
        <w:rPr>
          <w:rFonts w:hint="default" w:ascii="Times New Roman" w:hAnsi="Times New Roman" w:eastAsia="宋体" w:cs="Times New Roman"/>
          <w:b/>
          <w:bCs/>
          <w:color w:val="auto"/>
          <w:kern w:val="0"/>
          <w:sz w:val="21"/>
          <w:szCs w:val="21"/>
        </w:rPr>
        <w:t>核发现</w:t>
      </w:r>
      <w:r>
        <w:rPr>
          <w:rFonts w:hint="default" w:ascii="Times New Roman" w:hAnsi="Times New Roman" w:eastAsia="宋体" w:cs="Times New Roman"/>
          <w:b/>
          <w:bCs/>
          <w:color w:val="auto"/>
          <w:kern w:val="0"/>
          <w:sz w:val="21"/>
          <w:szCs w:val="21"/>
          <w:lang w:val="en-US" w:eastAsia="zh-CN"/>
        </w:rPr>
        <w:t>1</w:t>
      </w:r>
      <w:r>
        <w:rPr>
          <w:rFonts w:hint="default" w:ascii="Times New Roman" w:hAnsi="Times New Roman" w:eastAsia="宋体" w:cs="Times New Roman"/>
          <w:b/>
          <w:bCs/>
          <w:color w:val="auto"/>
          <w:kern w:val="0"/>
          <w:sz w:val="21"/>
          <w:szCs w:val="21"/>
        </w:rPr>
        <w:t>个不符合情况，属于次要不符合</w:t>
      </w:r>
      <w:r>
        <w:rPr>
          <w:rFonts w:hint="default" w:ascii="Times New Roman" w:hAnsi="Times New Roman" w:eastAsia="宋体" w:cs="Times New Roman"/>
          <w:b/>
          <w:bCs/>
          <w:kern w:val="0"/>
          <w:sz w:val="21"/>
          <w:szCs w:val="21"/>
          <w:lang w:eastAsia="zh-CN"/>
        </w:rPr>
        <w:t>：</w:t>
      </w:r>
    </w:p>
    <w:p>
      <w:pPr>
        <w:widowControl/>
        <w:spacing w:line="360" w:lineRule="auto"/>
        <w:ind w:firstLine="420" w:firstLineChars="200"/>
        <w:jc w:val="left"/>
        <w:rPr>
          <w:rFonts w:hint="default" w:ascii="Times New Roman" w:hAnsi="Times New Roman" w:eastAsia="宋体" w:cs="Times New Roman"/>
          <w:b w:val="0"/>
          <w:bCs w:val="0"/>
          <w:kern w:val="0"/>
          <w:sz w:val="21"/>
          <w:szCs w:val="21"/>
          <w:highlight w:val="none"/>
        </w:rPr>
      </w:pPr>
      <w:r>
        <w:rPr>
          <w:rFonts w:hint="default" w:ascii="Times New Roman" w:hAnsi="Times New Roman" w:eastAsia="宋体" w:cs="Times New Roman"/>
          <w:b w:val="0"/>
          <w:bCs/>
          <w:color w:val="auto"/>
          <w:sz w:val="21"/>
          <w:szCs w:val="21"/>
          <w:highlight w:val="none"/>
        </w:rPr>
        <w:t>不符合01：</w:t>
      </w:r>
      <w:r>
        <w:rPr>
          <w:rFonts w:hint="eastAsia" w:ascii="宋体" w:hAnsi="宋体" w:cs="宋体"/>
          <w:b w:val="0"/>
          <w:bCs w:val="0"/>
          <w:kern w:val="0"/>
          <w:szCs w:val="21"/>
          <w:lang w:val="en-US" w:eastAsia="zh-CN"/>
        </w:rPr>
        <w:t>查质检部，未提供出对新增的校准服务供方“东莞市帝恩检测有限公司”的评价记录。不符合GB/T19022-2003标准“6.4外部供方”条款的要求。</w:t>
      </w:r>
      <w:r>
        <w:rPr>
          <w:rFonts w:hint="default" w:ascii="Times New Roman" w:hAnsi="Times New Roman" w:eastAsia="宋体" w:cs="Times New Roman"/>
          <w:b/>
          <w:bCs w:val="0"/>
          <w:color w:val="auto"/>
          <w:sz w:val="21"/>
          <w:szCs w:val="21"/>
          <w:lang w:val="en-US" w:eastAsia="zh-CN"/>
        </w:rPr>
        <w:t xml:space="preserve">   </w:t>
      </w:r>
    </w:p>
    <w:p>
      <w:pPr>
        <w:keepNext w:val="0"/>
        <w:keepLines w:val="0"/>
        <w:pageBreakBefore w:val="0"/>
        <w:kinsoku/>
        <w:wordWrap/>
        <w:overflowPunct/>
        <w:topLinePunct w:val="0"/>
        <w:autoSpaceDE/>
        <w:autoSpaceDN/>
        <w:bidi w:val="0"/>
        <w:adjustRightInd/>
        <w:snapToGrid w:val="0"/>
        <w:spacing w:line="336" w:lineRule="auto"/>
        <w:ind w:right="-512" w:rightChars="-244"/>
        <w:textAlignment w:val="auto"/>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color w:val="auto"/>
          <w:kern w:val="0"/>
          <w:szCs w:val="28"/>
        </w:rPr>
        <w:t>:</w:t>
      </w:r>
    </w:p>
    <w:p>
      <w:pPr>
        <w:keepNext w:val="0"/>
        <w:keepLines w:val="0"/>
        <w:pageBreakBefore w:val="0"/>
        <w:kinsoku/>
        <w:wordWrap/>
        <w:overflowPunct/>
        <w:topLinePunct w:val="0"/>
        <w:autoSpaceDE/>
        <w:autoSpaceDN/>
        <w:bidi w:val="0"/>
        <w:adjustRightInd/>
        <w:snapToGrid w:val="0"/>
        <w:spacing w:line="336" w:lineRule="auto"/>
        <w:ind w:right="-512" w:rightChars="-244" w:firstLine="420" w:firstLineChars="200"/>
        <w:textAlignment w:val="auto"/>
        <w:rPr>
          <w:rFonts w:hint="eastAsia" w:ascii="宋体" w:hAnsi="宋体"/>
          <w:color w:val="auto"/>
          <w:szCs w:val="21"/>
        </w:rPr>
      </w:pPr>
      <w:r>
        <w:rPr>
          <w:rStyle w:val="10"/>
          <w:rFonts w:hint="eastAsia" w:ascii="宋体" w:hAnsi="宋体" w:eastAsia="宋体"/>
          <w:color w:val="auto"/>
          <w:sz w:val="21"/>
          <w:szCs w:val="21"/>
        </w:rPr>
        <w:t>通过20</w:t>
      </w:r>
      <w:r>
        <w:rPr>
          <w:rStyle w:val="10"/>
          <w:rFonts w:hint="eastAsia" w:ascii="宋体" w:hAnsi="宋体" w:eastAsia="宋体"/>
          <w:color w:val="auto"/>
          <w:sz w:val="21"/>
          <w:szCs w:val="21"/>
          <w:lang w:val="en-US" w:eastAsia="zh-CN"/>
        </w:rPr>
        <w:t>22</w:t>
      </w:r>
      <w:r>
        <w:rPr>
          <w:rStyle w:val="10"/>
          <w:rFonts w:ascii="宋体" w:hAnsi="宋体" w:eastAsia="宋体"/>
          <w:color w:val="auto"/>
          <w:sz w:val="21"/>
          <w:szCs w:val="21"/>
        </w:rPr>
        <w:t>年</w:t>
      </w:r>
      <w:r>
        <w:rPr>
          <w:rStyle w:val="10"/>
          <w:rFonts w:hint="eastAsia" w:ascii="宋体" w:hAnsi="宋体" w:eastAsia="宋体"/>
          <w:color w:val="auto"/>
          <w:sz w:val="21"/>
          <w:szCs w:val="21"/>
          <w:lang w:val="en-US" w:eastAsia="zh-CN"/>
        </w:rPr>
        <w:t>01</w:t>
      </w:r>
      <w:r>
        <w:rPr>
          <w:rStyle w:val="10"/>
          <w:rFonts w:ascii="宋体" w:hAnsi="宋体" w:eastAsia="宋体"/>
          <w:color w:val="auto"/>
          <w:sz w:val="21"/>
          <w:szCs w:val="21"/>
        </w:rPr>
        <w:t>月</w:t>
      </w:r>
      <w:r>
        <w:rPr>
          <w:rStyle w:val="10"/>
          <w:rFonts w:hint="eastAsia" w:ascii="宋体" w:hAnsi="宋体" w:eastAsia="宋体"/>
          <w:color w:val="auto"/>
          <w:sz w:val="21"/>
          <w:szCs w:val="21"/>
          <w:lang w:val="en-US" w:eastAsia="zh-CN"/>
        </w:rPr>
        <w:t>04</w:t>
      </w:r>
      <w:r>
        <w:rPr>
          <w:rStyle w:val="10"/>
          <w:rFonts w:ascii="宋体" w:hAnsi="宋体" w:eastAsia="宋体"/>
          <w:color w:val="auto"/>
          <w:sz w:val="21"/>
          <w:szCs w:val="21"/>
        </w:rPr>
        <w:t>日</w:t>
      </w:r>
      <w:r>
        <w:rPr>
          <w:rStyle w:val="10"/>
          <w:rFonts w:hint="eastAsia" w:ascii="宋体" w:hAnsi="宋体" w:eastAsia="宋体"/>
          <w:color w:val="auto"/>
          <w:sz w:val="21"/>
          <w:szCs w:val="21"/>
          <w:lang w:val="en-US" w:eastAsia="zh-CN"/>
        </w:rPr>
        <w:t>下午</w:t>
      </w:r>
      <w:r>
        <w:rPr>
          <w:rStyle w:val="10"/>
          <w:rFonts w:hint="default" w:ascii="Times New Roman" w:hAnsi="Times New Roman" w:eastAsia="宋体" w:cs="Times New Roman"/>
          <w:color w:val="auto"/>
          <w:sz w:val="21"/>
          <w:szCs w:val="21"/>
          <w:lang w:val="en-US" w:eastAsia="zh-CN"/>
        </w:rPr>
        <w:t>~</w:t>
      </w:r>
      <w:r>
        <w:rPr>
          <w:rStyle w:val="10"/>
          <w:rFonts w:hint="eastAsia" w:ascii="宋体" w:hAnsi="宋体" w:eastAsia="宋体"/>
          <w:color w:val="auto"/>
          <w:sz w:val="21"/>
          <w:szCs w:val="21"/>
        </w:rPr>
        <w:t>20</w:t>
      </w:r>
      <w:r>
        <w:rPr>
          <w:rStyle w:val="10"/>
          <w:rFonts w:hint="eastAsia" w:ascii="宋体" w:hAnsi="宋体" w:eastAsia="宋体"/>
          <w:color w:val="auto"/>
          <w:sz w:val="21"/>
          <w:szCs w:val="21"/>
          <w:lang w:val="en-US" w:eastAsia="zh-CN"/>
        </w:rPr>
        <w:t>22</w:t>
      </w:r>
      <w:r>
        <w:rPr>
          <w:rStyle w:val="10"/>
          <w:rFonts w:ascii="宋体" w:hAnsi="宋体" w:eastAsia="宋体"/>
          <w:color w:val="auto"/>
          <w:sz w:val="21"/>
          <w:szCs w:val="21"/>
        </w:rPr>
        <w:t>年</w:t>
      </w:r>
      <w:r>
        <w:rPr>
          <w:rStyle w:val="10"/>
          <w:rFonts w:hint="eastAsia" w:ascii="宋体" w:hAnsi="宋体" w:eastAsia="宋体"/>
          <w:color w:val="auto"/>
          <w:sz w:val="21"/>
          <w:szCs w:val="21"/>
          <w:lang w:val="en-US" w:eastAsia="zh-CN"/>
        </w:rPr>
        <w:t>01</w:t>
      </w:r>
      <w:r>
        <w:rPr>
          <w:rStyle w:val="10"/>
          <w:rFonts w:ascii="宋体" w:hAnsi="宋体" w:eastAsia="宋体"/>
          <w:color w:val="auto"/>
          <w:sz w:val="21"/>
          <w:szCs w:val="21"/>
        </w:rPr>
        <w:t>月</w:t>
      </w:r>
      <w:r>
        <w:rPr>
          <w:rStyle w:val="10"/>
          <w:rFonts w:hint="eastAsia" w:ascii="宋体" w:hAnsi="宋体" w:eastAsia="宋体"/>
          <w:color w:val="auto"/>
          <w:sz w:val="21"/>
          <w:szCs w:val="21"/>
          <w:lang w:val="en-US" w:eastAsia="zh-CN"/>
        </w:rPr>
        <w:t>05</w:t>
      </w:r>
      <w:r>
        <w:rPr>
          <w:rStyle w:val="10"/>
          <w:rFonts w:ascii="宋体" w:hAnsi="宋体" w:eastAsia="宋体"/>
          <w:color w:val="auto"/>
          <w:sz w:val="21"/>
          <w:szCs w:val="21"/>
        </w:rPr>
        <w:t>日</w:t>
      </w:r>
      <w:r>
        <w:rPr>
          <w:rStyle w:val="10"/>
          <w:rFonts w:hint="eastAsia" w:ascii="宋体" w:hAnsi="宋体" w:eastAsia="宋体"/>
          <w:color w:val="auto"/>
          <w:sz w:val="21"/>
          <w:szCs w:val="21"/>
          <w:lang w:val="en-US" w:eastAsia="zh-CN"/>
        </w:rPr>
        <w:t>上午</w:t>
      </w:r>
      <w:r>
        <w:rPr>
          <w:rStyle w:val="10"/>
          <w:rFonts w:ascii="宋体" w:hAnsi="宋体" w:eastAsia="宋体"/>
          <w:color w:val="auto"/>
          <w:sz w:val="21"/>
          <w:szCs w:val="21"/>
        </w:rPr>
        <w:t>对</w:t>
      </w:r>
      <w:r>
        <w:rPr>
          <w:rFonts w:cs="宋体" w:asciiTheme="minorEastAsia" w:hAnsiTheme="minorEastAsia"/>
          <w:kern w:val="0"/>
          <w:szCs w:val="21"/>
        </w:rPr>
        <w:t>河北天安电气集团有限公司</w:t>
      </w:r>
      <w:r>
        <w:rPr>
          <w:rFonts w:hint="eastAsia" w:ascii="Times New Roman" w:hAnsi="Times New Roman" w:eastAsia="宋体" w:cs="Times New Roman"/>
          <w:color w:val="auto"/>
          <w:sz w:val="21"/>
          <w:szCs w:val="21"/>
          <w:u w:val="none"/>
          <w:lang w:val="en-US" w:eastAsia="zh-CN"/>
        </w:rPr>
        <w:t>的</w:t>
      </w:r>
      <w:r>
        <w:rPr>
          <w:rStyle w:val="10"/>
          <w:rFonts w:hint="eastAsia" w:ascii="宋体" w:hAnsi="宋体" w:eastAsia="宋体"/>
          <w:color w:val="auto"/>
          <w:sz w:val="21"/>
          <w:szCs w:val="21"/>
        </w:rPr>
        <w:t>监督</w:t>
      </w:r>
      <w:r>
        <w:rPr>
          <w:rStyle w:val="10"/>
          <w:rFonts w:ascii="宋体" w:hAnsi="宋体" w:eastAsia="宋体"/>
          <w:color w:val="auto"/>
          <w:sz w:val="21"/>
          <w:szCs w:val="21"/>
        </w:rPr>
        <w:t>审核</w:t>
      </w:r>
      <w:r>
        <w:rPr>
          <w:rFonts w:hint="eastAsia" w:asciiTheme="minorEastAsia" w:hAnsiTheme="minorEastAsia"/>
          <w:bCs/>
          <w:color w:val="auto"/>
          <w:sz w:val="21"/>
          <w:szCs w:val="21"/>
        </w:rPr>
        <w:t>.验证了</w:t>
      </w:r>
      <w:r>
        <w:rPr>
          <w:rFonts w:hint="default" w:ascii="Times New Roman" w:hAnsi="Times New Roman" w:eastAsia="宋体" w:cs="Times New Roman"/>
          <w:bCs/>
          <w:kern w:val="0"/>
          <w:sz w:val="21"/>
          <w:szCs w:val="21"/>
        </w:rPr>
        <w:t>公司测量管理体系在</w:t>
      </w:r>
      <w:r>
        <w:rPr>
          <w:rFonts w:hint="default" w:ascii="Times New Roman" w:hAnsi="Times New Roman" w:eastAsia="宋体" w:cs="Times New Roman"/>
          <w:bCs/>
          <w:kern w:val="0"/>
          <w:sz w:val="21"/>
          <w:szCs w:val="21"/>
          <w:lang w:val="en-US" w:eastAsia="zh-CN"/>
        </w:rPr>
        <w:t>上年度</w:t>
      </w:r>
      <w:r>
        <w:rPr>
          <w:rFonts w:hint="eastAsia" w:ascii="Times New Roman" w:hAnsi="Times New Roman" w:eastAsia="宋体" w:cs="Times New Roman"/>
          <w:bCs/>
          <w:kern w:val="0"/>
          <w:sz w:val="21"/>
          <w:szCs w:val="21"/>
          <w:lang w:val="en-US" w:eastAsia="zh-CN"/>
        </w:rPr>
        <w:t>认证</w:t>
      </w:r>
      <w:r>
        <w:rPr>
          <w:rFonts w:hint="default" w:ascii="Times New Roman" w:hAnsi="Times New Roman" w:eastAsia="宋体" w:cs="Times New Roman"/>
          <w:bCs/>
          <w:kern w:val="0"/>
          <w:sz w:val="21"/>
          <w:szCs w:val="21"/>
          <w:lang w:val="en-US" w:eastAsia="zh-CN"/>
        </w:rPr>
        <w:t>审核</w:t>
      </w:r>
      <w:r>
        <w:rPr>
          <w:rFonts w:hint="eastAsia" w:ascii="Times New Roman" w:hAnsi="Times New Roman" w:eastAsia="宋体" w:cs="Times New Roman"/>
          <w:bCs/>
          <w:kern w:val="0"/>
          <w:sz w:val="21"/>
          <w:szCs w:val="21"/>
          <w:lang w:val="en-US" w:eastAsia="zh-CN"/>
        </w:rPr>
        <w:t>至今</w:t>
      </w:r>
      <w:r>
        <w:rPr>
          <w:rFonts w:hint="default" w:ascii="Times New Roman" w:hAnsi="Times New Roman" w:eastAsia="宋体" w:cs="Times New Roman"/>
          <w:bCs/>
          <w:kern w:val="0"/>
          <w:sz w:val="21"/>
          <w:szCs w:val="21"/>
        </w:rPr>
        <w:t>一年内</w:t>
      </w:r>
      <w:r>
        <w:rPr>
          <w:rFonts w:hint="eastAsia" w:asciiTheme="minorEastAsia" w:hAnsiTheme="minorEastAsia"/>
          <w:bCs/>
          <w:color w:val="auto"/>
          <w:sz w:val="21"/>
          <w:szCs w:val="21"/>
        </w:rPr>
        <w:t>测量管理体系</w:t>
      </w:r>
      <w:r>
        <w:rPr>
          <w:rFonts w:hint="eastAsia" w:asciiTheme="minorEastAsia" w:hAnsiTheme="minorEastAsia"/>
          <w:bCs/>
          <w:color w:val="auto"/>
          <w:sz w:val="21"/>
          <w:szCs w:val="21"/>
          <w:lang w:val="en-US" w:eastAsia="zh-CN"/>
        </w:rPr>
        <w:t>的</w:t>
      </w:r>
      <w:r>
        <w:rPr>
          <w:rFonts w:hint="eastAsia" w:asciiTheme="minorEastAsia" w:hAnsiTheme="minorEastAsia"/>
          <w:bCs/>
          <w:color w:val="auto"/>
          <w:sz w:val="21"/>
          <w:szCs w:val="21"/>
        </w:rPr>
        <w:t>运</w:t>
      </w:r>
      <w:r>
        <w:rPr>
          <w:rFonts w:hint="eastAsia" w:asciiTheme="minorEastAsia" w:hAnsiTheme="minorEastAsia"/>
          <w:bCs/>
          <w:color w:val="auto"/>
          <w:sz w:val="21"/>
          <w:szCs w:val="21"/>
          <w:lang w:val="en-US" w:eastAsia="zh-CN"/>
        </w:rPr>
        <w:t>行</w:t>
      </w:r>
      <w:r>
        <w:rPr>
          <w:rFonts w:hint="eastAsia" w:asciiTheme="minorEastAsia" w:hAnsiTheme="minorEastAsia"/>
          <w:bCs/>
          <w:color w:val="auto"/>
          <w:sz w:val="21"/>
          <w:szCs w:val="21"/>
        </w:rPr>
        <w:t>情况，</w:t>
      </w:r>
      <w:r>
        <w:rPr>
          <w:rFonts w:hint="eastAsia" w:ascii="宋体" w:hAnsi="宋体"/>
          <w:color w:val="auto"/>
          <w:szCs w:val="21"/>
        </w:rPr>
        <w:t>公司领导重视体系运行和管理，体系文件得到有效实施，企业管理规范，</w:t>
      </w:r>
      <w:r>
        <w:rPr>
          <w:rFonts w:hint="default" w:ascii="Times New Roman" w:hAnsi="Times New Roman" w:eastAsia="宋体" w:cs="Times New Roman"/>
          <w:bCs/>
          <w:kern w:val="0"/>
          <w:sz w:val="21"/>
          <w:szCs w:val="21"/>
        </w:rPr>
        <w:t>关键测量过程</w:t>
      </w:r>
      <w:r>
        <w:rPr>
          <w:rFonts w:hint="eastAsia" w:ascii="Times New Roman" w:hAnsi="Times New Roman" w:eastAsia="宋体" w:cs="Times New Roman"/>
          <w:bCs/>
          <w:kern w:val="0"/>
          <w:sz w:val="21"/>
          <w:szCs w:val="21"/>
          <w:lang w:val="en-US" w:eastAsia="zh-CN"/>
        </w:rPr>
        <w:t>得到</w:t>
      </w:r>
      <w:r>
        <w:rPr>
          <w:rFonts w:hint="default" w:ascii="Times New Roman" w:hAnsi="Times New Roman" w:eastAsia="宋体" w:cs="Times New Roman"/>
          <w:bCs/>
          <w:kern w:val="0"/>
          <w:sz w:val="21"/>
          <w:szCs w:val="21"/>
        </w:rPr>
        <w:t>持续监控、监视方法正确有效</w:t>
      </w:r>
      <w:r>
        <w:rPr>
          <w:rFonts w:hint="eastAsia" w:ascii="宋体" w:hAnsi="宋体"/>
          <w:color w:val="auto"/>
          <w:szCs w:val="21"/>
        </w:rPr>
        <w:t>，重要测量人员能力受控，测量设备、测量环境、测量软件、测量记录及外部供方管理等各项工作</w:t>
      </w:r>
      <w:r>
        <w:rPr>
          <w:rFonts w:hint="default" w:ascii="Times New Roman" w:hAnsi="Times New Roman" w:eastAsia="宋体" w:cs="Times New Roman"/>
          <w:bCs/>
          <w:kern w:val="0"/>
          <w:sz w:val="21"/>
          <w:szCs w:val="21"/>
        </w:rPr>
        <w:t>比上一年度更加完善和规范</w:t>
      </w:r>
      <w:r>
        <w:rPr>
          <w:rFonts w:hint="eastAsia" w:ascii="宋体" w:hAnsi="宋体"/>
          <w:color w:val="auto"/>
          <w:szCs w:val="21"/>
        </w:rPr>
        <w:t>。综上所述，审核组</w:t>
      </w:r>
      <w:r>
        <w:rPr>
          <w:rFonts w:hint="eastAsia" w:ascii="宋体" w:hAnsi="宋体"/>
          <w:color w:val="auto"/>
          <w:sz w:val="21"/>
          <w:szCs w:val="21"/>
        </w:rPr>
        <w:t>认为</w:t>
      </w:r>
      <w:r>
        <w:rPr>
          <w:rFonts w:cs="宋体" w:asciiTheme="minorEastAsia" w:hAnsiTheme="minorEastAsia"/>
          <w:kern w:val="0"/>
          <w:szCs w:val="21"/>
        </w:rPr>
        <w:t>河北天安电气集团有限公司</w:t>
      </w:r>
      <w:r>
        <w:rPr>
          <w:rFonts w:hint="eastAsia" w:ascii="宋体" w:hAnsi="宋体"/>
          <w:color w:val="auto"/>
          <w:sz w:val="21"/>
          <w:szCs w:val="21"/>
        </w:rPr>
        <w:t>测量管理体系</w:t>
      </w:r>
      <w:r>
        <w:rPr>
          <w:rFonts w:hint="eastAsia" w:ascii="宋体" w:hAnsi="宋体"/>
          <w:color w:val="auto"/>
          <w:sz w:val="21"/>
          <w:szCs w:val="21"/>
          <w:lang w:val="en-US" w:eastAsia="zh-CN"/>
        </w:rPr>
        <w:t>的运行</w:t>
      </w:r>
      <w:r>
        <w:rPr>
          <w:rFonts w:hint="eastAsia" w:ascii="宋体" w:hAnsi="宋体"/>
          <w:color w:val="auto"/>
          <w:sz w:val="21"/>
          <w:szCs w:val="21"/>
        </w:rPr>
        <w:t>符合GB/</w:t>
      </w:r>
      <w:r>
        <w:rPr>
          <w:rFonts w:hint="eastAsia" w:ascii="宋体" w:hAnsi="宋体"/>
          <w:color w:val="auto"/>
          <w:szCs w:val="21"/>
        </w:rPr>
        <w:t>T 19022-2003标准要求，对体系运行具有持续的有效性、符合性予以肯定。建议报请北京国标联合认证有限公司批准通过</w:t>
      </w:r>
      <w:r>
        <w:rPr>
          <w:rFonts w:hint="eastAsia" w:ascii="宋体" w:hAnsi="宋体"/>
          <w:color w:val="auto"/>
          <w:szCs w:val="21"/>
          <w:lang w:val="en-US" w:eastAsia="zh-CN"/>
        </w:rPr>
        <w:t>2021年度的</w:t>
      </w:r>
      <w:r>
        <w:rPr>
          <w:rFonts w:hint="eastAsia" w:ascii="宋体" w:hAnsi="宋体"/>
          <w:color w:val="auto"/>
          <w:szCs w:val="21"/>
        </w:rPr>
        <w:t>监督审核。</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default" w:ascii="Times New Roman" w:hAnsi="Times New Roman" w:eastAsia="宋体" w:cs="Times New Roman"/>
          <w:bCs/>
          <w:kern w:val="0"/>
          <w:sz w:val="21"/>
          <w:szCs w:val="21"/>
        </w:rPr>
      </w:pPr>
      <w:r>
        <w:rPr>
          <w:rFonts w:hint="default" w:ascii="Times New Roman" w:hAnsi="Times New Roman" w:eastAsia="宋体" w:cs="Times New Roman"/>
          <w:bCs/>
          <w:kern w:val="0"/>
          <w:sz w:val="21"/>
          <w:szCs w:val="21"/>
        </w:rPr>
        <w:t>为促进</w:t>
      </w:r>
      <w:r>
        <w:rPr>
          <w:rFonts w:hint="default" w:ascii="Times New Roman" w:hAnsi="Times New Roman" w:eastAsia="宋体" w:cs="Times New Roman"/>
          <w:bCs/>
          <w:kern w:val="0"/>
          <w:sz w:val="21"/>
          <w:szCs w:val="21"/>
          <w:lang w:val="en-US" w:eastAsia="zh-CN"/>
        </w:rPr>
        <w:t>和</w:t>
      </w:r>
      <w:r>
        <w:rPr>
          <w:rFonts w:hint="default" w:ascii="Times New Roman" w:hAnsi="Times New Roman" w:eastAsia="宋体" w:cs="Times New Roman"/>
          <w:bCs/>
          <w:kern w:val="0"/>
          <w:sz w:val="21"/>
          <w:szCs w:val="21"/>
        </w:rPr>
        <w:t>支持企业测量管理体系</w:t>
      </w:r>
      <w:r>
        <w:rPr>
          <w:rFonts w:hint="default" w:ascii="Times New Roman" w:hAnsi="Times New Roman" w:eastAsia="宋体" w:cs="Times New Roman"/>
          <w:bCs/>
          <w:kern w:val="0"/>
          <w:sz w:val="21"/>
          <w:szCs w:val="21"/>
          <w:lang w:val="en-US" w:eastAsia="zh-CN"/>
        </w:rPr>
        <w:t>进一步有效运行和</w:t>
      </w:r>
      <w:r>
        <w:rPr>
          <w:rFonts w:hint="default" w:ascii="Times New Roman" w:hAnsi="Times New Roman" w:eastAsia="宋体" w:cs="Times New Roman"/>
          <w:bCs/>
          <w:kern w:val="0"/>
          <w:sz w:val="21"/>
          <w:szCs w:val="21"/>
        </w:rPr>
        <w:t>持续</w:t>
      </w:r>
      <w:r>
        <w:rPr>
          <w:rFonts w:hint="default" w:ascii="Times New Roman" w:hAnsi="Times New Roman" w:eastAsia="宋体" w:cs="Times New Roman"/>
          <w:bCs/>
          <w:kern w:val="0"/>
          <w:sz w:val="21"/>
          <w:szCs w:val="21"/>
          <w:lang w:val="en-US" w:eastAsia="zh-CN"/>
        </w:rPr>
        <w:t>完善</w:t>
      </w:r>
      <w:r>
        <w:rPr>
          <w:rFonts w:hint="default" w:ascii="Times New Roman" w:hAnsi="Times New Roman" w:eastAsia="宋体" w:cs="Times New Roman"/>
          <w:bCs/>
          <w:kern w:val="0"/>
          <w:sz w:val="21"/>
          <w:szCs w:val="21"/>
        </w:rPr>
        <w:t>，提出以下几</w:t>
      </w:r>
      <w:r>
        <w:rPr>
          <w:rFonts w:hint="default" w:ascii="Times New Roman" w:hAnsi="Times New Roman" w:eastAsia="宋体" w:cs="Times New Roman"/>
          <w:bCs/>
          <w:kern w:val="0"/>
          <w:sz w:val="21"/>
          <w:szCs w:val="21"/>
          <w:lang w:val="en-US" w:eastAsia="zh-CN"/>
        </w:rPr>
        <w:t>点</w:t>
      </w:r>
      <w:r>
        <w:rPr>
          <w:rFonts w:hint="default" w:ascii="Times New Roman" w:hAnsi="Times New Roman" w:eastAsia="宋体" w:cs="Times New Roman"/>
          <w:bCs/>
          <w:kern w:val="0"/>
          <w:sz w:val="21"/>
          <w:szCs w:val="21"/>
        </w:rPr>
        <w:t>建议：</w:t>
      </w:r>
    </w:p>
    <w:p>
      <w:pPr>
        <w:keepNext w:val="0"/>
        <w:keepLines w:val="0"/>
        <w:pageBreakBefore w:val="0"/>
        <w:widowControl/>
        <w:numPr>
          <w:ilvl w:val="0"/>
          <w:numId w:val="1"/>
        </w:numPr>
        <w:kinsoku/>
        <w:wordWrap/>
        <w:overflowPunct/>
        <w:topLinePunct w:val="0"/>
        <w:autoSpaceDE/>
        <w:autoSpaceDN/>
        <w:bidi w:val="0"/>
        <w:adjustRightInd/>
        <w:snapToGrid/>
        <w:spacing w:line="336" w:lineRule="auto"/>
        <w:ind w:left="420" w:leftChars="200" w:firstLine="0" w:firstLineChars="0"/>
        <w:textAlignment w:val="auto"/>
        <w:rPr>
          <w:rFonts w:hint="eastAsia" w:asciiTheme="minorEastAsia" w:hAnsiTheme="minorEastAsia"/>
          <w:bCs/>
          <w:szCs w:val="21"/>
          <w:lang w:eastAsia="zh-CN"/>
        </w:rPr>
      </w:pPr>
      <w:r>
        <w:rPr>
          <w:rFonts w:hint="eastAsia" w:asciiTheme="minorEastAsia" w:hAnsiTheme="minorEastAsia"/>
          <w:bCs/>
          <w:szCs w:val="21"/>
          <w:lang w:eastAsia="zh-CN"/>
        </w:rPr>
        <w:t>进一步提高内审工作质量，</w:t>
      </w:r>
      <w:r>
        <w:rPr>
          <w:rFonts w:hint="eastAsia" w:asciiTheme="minorEastAsia" w:hAnsiTheme="minorEastAsia"/>
          <w:bCs/>
          <w:szCs w:val="21"/>
          <w:lang w:val="en-US" w:eastAsia="zh-CN"/>
        </w:rPr>
        <w:t>加强内审员的培训，将内审工作落到实处</w:t>
      </w:r>
      <w:r>
        <w:rPr>
          <w:rFonts w:hint="eastAsia" w:asciiTheme="minorEastAsia" w:hAnsiTheme="minorEastAsia"/>
          <w:bCs/>
          <w:szCs w:val="21"/>
          <w:lang w:eastAsia="zh-CN"/>
        </w:rPr>
        <w:t>，真正找出企</w:t>
      </w:r>
    </w:p>
    <w:p>
      <w:pPr>
        <w:keepNext w:val="0"/>
        <w:keepLines w:val="0"/>
        <w:pageBreakBefore w:val="0"/>
        <w:widowControl/>
        <w:numPr>
          <w:ilvl w:val="0"/>
          <w:numId w:val="0"/>
        </w:numPr>
        <w:kinsoku/>
        <w:wordWrap/>
        <w:overflowPunct/>
        <w:topLinePunct w:val="0"/>
        <w:autoSpaceDE/>
        <w:autoSpaceDN/>
        <w:bidi w:val="0"/>
        <w:adjustRightInd/>
        <w:snapToGrid/>
        <w:spacing w:line="336" w:lineRule="auto"/>
        <w:textAlignment w:val="auto"/>
        <w:rPr>
          <w:rFonts w:hint="eastAsia" w:asciiTheme="minorEastAsia" w:hAnsiTheme="minorEastAsia"/>
          <w:bCs/>
          <w:szCs w:val="21"/>
          <w:lang w:eastAsia="zh-CN"/>
        </w:rPr>
      </w:pPr>
      <w:r>
        <w:rPr>
          <w:rFonts w:hint="eastAsia" w:asciiTheme="minorEastAsia" w:hAnsiTheme="minorEastAsia"/>
          <w:bCs/>
          <w:szCs w:val="21"/>
          <w:lang w:eastAsia="zh-CN"/>
        </w:rPr>
        <w:t>业在测量过程控制和测量设备使用、管理中存在的问题；</w:t>
      </w:r>
    </w:p>
    <w:p>
      <w:pPr>
        <w:keepNext w:val="0"/>
        <w:keepLines w:val="0"/>
        <w:pageBreakBefore w:val="0"/>
        <w:widowControl/>
        <w:numPr>
          <w:ilvl w:val="0"/>
          <w:numId w:val="0"/>
        </w:numPr>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bCs/>
          <w:szCs w:val="21"/>
          <w:lang w:eastAsia="zh-CN"/>
        </w:rPr>
      </w:pPr>
      <w:r>
        <w:rPr>
          <w:rFonts w:hint="eastAsia" w:asciiTheme="minorEastAsia" w:hAnsiTheme="minorEastAsia"/>
          <w:bCs/>
          <w:szCs w:val="21"/>
          <w:lang w:val="en-US" w:eastAsia="zh-CN"/>
        </w:rPr>
        <w:t>2、加强</w:t>
      </w:r>
      <w:r>
        <w:rPr>
          <w:rFonts w:hint="eastAsia" w:asciiTheme="minorEastAsia" w:hAnsiTheme="minorEastAsia"/>
          <w:bCs/>
          <w:szCs w:val="21"/>
          <w:lang w:eastAsia="zh-CN"/>
        </w:rPr>
        <w:t>外部服务方工作质量的管理，对校准机构出具的证书要认真确认评价；</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bCs/>
          <w:szCs w:val="21"/>
          <w:lang w:eastAsia="zh-CN"/>
        </w:rPr>
      </w:pPr>
      <w:r>
        <w:rPr>
          <w:rFonts w:hint="eastAsia" w:asciiTheme="minorEastAsia" w:hAnsiTheme="minorEastAsia"/>
          <w:bCs/>
          <w:szCs w:val="21"/>
          <w:lang w:val="en-US" w:eastAsia="zh-CN"/>
        </w:rPr>
        <w:t>3、</w:t>
      </w:r>
      <w:r>
        <w:rPr>
          <w:rFonts w:hint="eastAsia" w:asciiTheme="minorEastAsia" w:hAnsiTheme="minorEastAsia"/>
          <w:bCs/>
          <w:szCs w:val="21"/>
          <w:lang w:eastAsia="zh-CN"/>
        </w:rPr>
        <w:t>加强标准的学习和宣贯，提升企业的管理水平。</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default" w:ascii="Times New Roman" w:hAnsi="Times New Roman" w:eastAsia="宋体" w:cs="Times New Roman"/>
          <w:bCs/>
          <w:kern w:val="0"/>
          <w:sz w:val="21"/>
          <w:szCs w:val="21"/>
        </w:rPr>
      </w:pPr>
    </w:p>
    <w:p>
      <w:pPr>
        <w:snapToGrid w:val="0"/>
        <w:spacing w:line="400" w:lineRule="exact"/>
        <w:ind w:right="-512" w:rightChars="-244" w:firstLine="420" w:firstLineChars="200"/>
        <w:rPr>
          <w:rFonts w:hint="eastAsia" w:ascii="宋体" w:hAnsi="宋体"/>
          <w:color w:val="auto"/>
          <w:szCs w:val="21"/>
        </w:rPr>
      </w:pPr>
    </w:p>
    <w:p>
      <w:pPr>
        <w:widowControl/>
        <w:spacing w:line="276" w:lineRule="auto"/>
        <w:rPr>
          <w:rFonts w:ascii="宋体" w:hAnsi="宋体" w:eastAsia="宋体" w:cs="宋体"/>
          <w:b/>
          <w:bCs/>
          <w:color w:val="auto"/>
          <w:kern w:val="0"/>
          <w:szCs w:val="28"/>
        </w:rPr>
      </w:pPr>
    </w:p>
    <w:p>
      <w:pPr>
        <w:widowControl/>
        <w:spacing w:line="360" w:lineRule="auto"/>
        <w:jc w:val="left"/>
        <w:rPr>
          <w:rFonts w:ascii="宋体" w:hAnsi="宋体" w:cs="宋体"/>
          <w:kern w:val="0"/>
          <w:szCs w:val="21"/>
        </w:rPr>
      </w:pPr>
      <w:r>
        <w:rPr>
          <w:rFonts w:hint="default" w:ascii="Times New Roman" w:hAnsi="Times New Roman" w:eastAsia="宋体" w:cs="Times New Roman"/>
          <w:sz w:val="24"/>
          <w:szCs w:val="24"/>
        </w:rPr>
        <w:drawing>
          <wp:anchor distT="0" distB="0" distL="114300" distR="114300" simplePos="0" relativeHeight="251662336" behindDoc="0" locked="0" layoutInCell="1" allowOverlap="1">
            <wp:simplePos x="0" y="0"/>
            <wp:positionH relativeFrom="column">
              <wp:posOffset>1353820</wp:posOffset>
            </wp:positionH>
            <wp:positionV relativeFrom="paragraph">
              <wp:posOffset>253365</wp:posOffset>
            </wp:positionV>
            <wp:extent cx="675005" cy="390525"/>
            <wp:effectExtent l="0" t="0" r="10795" b="3175"/>
            <wp:wrapNone/>
            <wp:docPr id="2" name="图片 2" descr="16194824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19482406(1)"/>
                    <pic:cNvPicPr>
                      <a:picLocks noChangeAspect="1"/>
                    </pic:cNvPicPr>
                  </pic:nvPicPr>
                  <pic:blipFill>
                    <a:blip r:embed="rId6"/>
                    <a:stretch>
                      <a:fillRect/>
                    </a:stretch>
                  </pic:blipFill>
                  <pic:spPr>
                    <a:xfrm>
                      <a:off x="0" y="0"/>
                      <a:ext cx="675005" cy="390525"/>
                    </a:xfrm>
                    <a:prstGeom prst="rect">
                      <a:avLst/>
                    </a:prstGeom>
                    <a:noFill/>
                    <a:ln>
                      <a:noFill/>
                    </a:ln>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宋体" w:hAnsi="宋体" w:eastAsia="宋体" w:cs="宋体"/>
          <w:kern w:val="0"/>
          <w:szCs w:val="21"/>
          <w:lang w:val="en-US" w:eastAsia="zh-CN"/>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2022年01月05日</w:t>
      </w:r>
    </w:p>
    <w:p>
      <w:pPr>
        <w:widowControl/>
        <w:spacing w:line="360" w:lineRule="auto"/>
        <w:jc w:val="left"/>
        <w:rPr>
          <w:rFonts w:ascii="宋体" w:hAnsi="宋体" w:eastAsia="宋体" w:cs="宋体"/>
          <w:color w:val="000000"/>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p>
    <w:p>
      <w:pPr>
        <w:widowControl/>
        <w:spacing w:line="360" w:lineRule="auto"/>
        <w:jc w:val="left"/>
        <w:rPr>
          <w:rFonts w:hint="eastAsia" w:ascii="宋体" w:hAnsi="宋体" w:cs="宋体"/>
          <w:kern w:val="0"/>
          <w:szCs w:val="21"/>
        </w:rPr>
      </w:pPr>
    </w:p>
    <w:p>
      <w:pPr>
        <w:widowControl/>
        <w:spacing w:line="276" w:lineRule="auto"/>
        <w:ind w:right="1050"/>
        <w:rPr>
          <w:rFonts w:ascii="宋体" w:hAnsi="宋体" w:eastAsia="宋体" w:cs="宋体"/>
          <w:kern w:val="0"/>
          <w:szCs w:val="28"/>
        </w:rPr>
      </w:pPr>
      <w:r>
        <w:rPr>
          <w:rFonts w:hint="eastAsia" w:ascii="宋体" w:hAnsi="宋体" w:cs="宋体"/>
          <w:kern w:val="0"/>
          <w:szCs w:val="21"/>
        </w:rPr>
        <w:t>北京国标联合认证有限公司(盖章)                       日 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2"/>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2"/>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8152CA"/>
    <w:multiLevelType w:val="singleLevel"/>
    <w:tmpl w:val="BC8152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5C088A"/>
    <w:rsid w:val="00757B9E"/>
    <w:rsid w:val="031175BF"/>
    <w:rsid w:val="039447DF"/>
    <w:rsid w:val="06A62AC9"/>
    <w:rsid w:val="06C72058"/>
    <w:rsid w:val="076D4BE4"/>
    <w:rsid w:val="08163A15"/>
    <w:rsid w:val="097F1E67"/>
    <w:rsid w:val="0AEB412B"/>
    <w:rsid w:val="0B574A70"/>
    <w:rsid w:val="0CA25018"/>
    <w:rsid w:val="0D0F1134"/>
    <w:rsid w:val="0D1E7E5C"/>
    <w:rsid w:val="0DCF494C"/>
    <w:rsid w:val="0F1802A8"/>
    <w:rsid w:val="0F88196A"/>
    <w:rsid w:val="0F944EEB"/>
    <w:rsid w:val="105758A5"/>
    <w:rsid w:val="112D1D65"/>
    <w:rsid w:val="115E3FEE"/>
    <w:rsid w:val="13952AC5"/>
    <w:rsid w:val="13AC1380"/>
    <w:rsid w:val="141D437D"/>
    <w:rsid w:val="162B5F4B"/>
    <w:rsid w:val="16396E5B"/>
    <w:rsid w:val="16BA6D54"/>
    <w:rsid w:val="16E573D4"/>
    <w:rsid w:val="18FA7BB9"/>
    <w:rsid w:val="1A2C70C8"/>
    <w:rsid w:val="1A4C314F"/>
    <w:rsid w:val="1AFB189F"/>
    <w:rsid w:val="1FD275D0"/>
    <w:rsid w:val="213F5933"/>
    <w:rsid w:val="21CE6CB6"/>
    <w:rsid w:val="2264640B"/>
    <w:rsid w:val="228D0920"/>
    <w:rsid w:val="22D56F29"/>
    <w:rsid w:val="23641680"/>
    <w:rsid w:val="23DE179B"/>
    <w:rsid w:val="245C1D65"/>
    <w:rsid w:val="26315FF2"/>
    <w:rsid w:val="26455466"/>
    <w:rsid w:val="266A5519"/>
    <w:rsid w:val="26D353B8"/>
    <w:rsid w:val="26DF59A2"/>
    <w:rsid w:val="2A027E45"/>
    <w:rsid w:val="2A6D3510"/>
    <w:rsid w:val="2B171B1A"/>
    <w:rsid w:val="2B350436"/>
    <w:rsid w:val="2BA203E2"/>
    <w:rsid w:val="308E7498"/>
    <w:rsid w:val="30B90178"/>
    <w:rsid w:val="31462D0D"/>
    <w:rsid w:val="31D67BED"/>
    <w:rsid w:val="329B0E37"/>
    <w:rsid w:val="335B560E"/>
    <w:rsid w:val="33833DA5"/>
    <w:rsid w:val="33AF764C"/>
    <w:rsid w:val="33CC1E15"/>
    <w:rsid w:val="352B01C4"/>
    <w:rsid w:val="375A6BCB"/>
    <w:rsid w:val="385A50C7"/>
    <w:rsid w:val="390019F4"/>
    <w:rsid w:val="3AB72586"/>
    <w:rsid w:val="3BEE1FD7"/>
    <w:rsid w:val="3CA20800"/>
    <w:rsid w:val="3CA54D8C"/>
    <w:rsid w:val="3CFB2BFE"/>
    <w:rsid w:val="3D347EBE"/>
    <w:rsid w:val="3D600CB3"/>
    <w:rsid w:val="3D670293"/>
    <w:rsid w:val="3D6C1B73"/>
    <w:rsid w:val="3DC2371B"/>
    <w:rsid w:val="3E693B97"/>
    <w:rsid w:val="3F2A77CA"/>
    <w:rsid w:val="3FA4132B"/>
    <w:rsid w:val="41AE46E3"/>
    <w:rsid w:val="425F6603"/>
    <w:rsid w:val="426D00FA"/>
    <w:rsid w:val="42C623E0"/>
    <w:rsid w:val="44BA6EFA"/>
    <w:rsid w:val="44FE5AAC"/>
    <w:rsid w:val="469F2EE7"/>
    <w:rsid w:val="46DE0CEF"/>
    <w:rsid w:val="48010ED3"/>
    <w:rsid w:val="484D62D8"/>
    <w:rsid w:val="4A0C24A1"/>
    <w:rsid w:val="4C1E7291"/>
    <w:rsid w:val="4C8A3EF3"/>
    <w:rsid w:val="4FEC63D6"/>
    <w:rsid w:val="503B36ED"/>
    <w:rsid w:val="51E312FA"/>
    <w:rsid w:val="522F7589"/>
    <w:rsid w:val="5349470F"/>
    <w:rsid w:val="5373753A"/>
    <w:rsid w:val="54A87621"/>
    <w:rsid w:val="55FC1B31"/>
    <w:rsid w:val="56004989"/>
    <w:rsid w:val="569F6F74"/>
    <w:rsid w:val="575A664D"/>
    <w:rsid w:val="59451E18"/>
    <w:rsid w:val="59672814"/>
    <w:rsid w:val="59B241EC"/>
    <w:rsid w:val="59BE7035"/>
    <w:rsid w:val="5BAF3D53"/>
    <w:rsid w:val="5D795086"/>
    <w:rsid w:val="5E783C56"/>
    <w:rsid w:val="5F1A63D6"/>
    <w:rsid w:val="5FA62A45"/>
    <w:rsid w:val="62234311"/>
    <w:rsid w:val="62BE57EC"/>
    <w:rsid w:val="62CC0855"/>
    <w:rsid w:val="647730C7"/>
    <w:rsid w:val="650E0E71"/>
    <w:rsid w:val="651D2E62"/>
    <w:rsid w:val="65C23A09"/>
    <w:rsid w:val="673F16FF"/>
    <w:rsid w:val="6895727E"/>
    <w:rsid w:val="68EB3277"/>
    <w:rsid w:val="68F05DE2"/>
    <w:rsid w:val="6B160A7F"/>
    <w:rsid w:val="6C6608C4"/>
    <w:rsid w:val="6D3A3022"/>
    <w:rsid w:val="6F71097A"/>
    <w:rsid w:val="706C16A6"/>
    <w:rsid w:val="70BC3E77"/>
    <w:rsid w:val="726C4EFD"/>
    <w:rsid w:val="74740349"/>
    <w:rsid w:val="74C67C77"/>
    <w:rsid w:val="76CF2E97"/>
    <w:rsid w:val="779C40BA"/>
    <w:rsid w:val="79A96F62"/>
    <w:rsid w:val="7A075712"/>
    <w:rsid w:val="7BA3037E"/>
    <w:rsid w:val="7BBC2F7D"/>
    <w:rsid w:val="7BFE53B6"/>
    <w:rsid w:val="7E015A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character" w:customStyle="1" w:styleId="6">
    <w:name w:val="页眉 Char"/>
    <w:basedOn w:val="5"/>
    <w:link w:val="2"/>
    <w:qFormat/>
    <w:uiPriority w:val="99"/>
    <w:rPr>
      <w:sz w:val="18"/>
      <w:szCs w:val="18"/>
    </w:rPr>
  </w:style>
  <w:style w:type="character" w:customStyle="1" w:styleId="7">
    <w:name w:val="页脚 Char"/>
    <w:basedOn w:val="5"/>
    <w:link w:val="3"/>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TotalTime>
  <ScaleCrop>false</ScaleCrop>
  <LinksUpToDate>false</LinksUpToDate>
  <CharactersWithSpaces>2163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金银铜铁</cp:lastModifiedBy>
  <cp:lastPrinted>2017-09-01T06:24:00Z</cp:lastPrinted>
  <dcterms:modified xsi:type="dcterms:W3CDTF">2022-01-05T05:18:58Z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05920A250D5D409D8DD263F1A9A71AFB</vt:lpwstr>
  </property>
</Properties>
</file>