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1351-2021-E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邯郸市永年区大久五金制品有限公司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91130429681355965J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邯郸市永年区大久五金制品有限公司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紧固件（螺栓、螺母、预埋件、锻打异形件）的销售所涉及场所的相关环境管理活动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河北省邯郸市永年区临洺关镇东名阳村铁西工业园区G-91号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河北省邯郸市永年区河北铺新商城4-3-1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7440" cy="8757285"/>
            <wp:effectExtent l="0" t="0" r="0" b="5715"/>
            <wp:docPr id="1" name="图片 1" descr="太久二阶段扫描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太久二阶段扫描_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75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236CED"/>
    <w:rsid w:val="7C0169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2022-01-15T07:45:24Z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2052-11.1.0.11194</vt:lpwstr>
  </property>
</Properties>
</file>