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邯郸市永年区大久五金制品有限公司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21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12月</w:t>
            </w:r>
            <w:r>
              <w:rPr>
                <w:rFonts w:hint="eastAsia" w:ascii="方正仿宋简体" w:eastAsia="方正仿宋简体"/>
                <w:b/>
              </w:rPr>
              <w:t>计划实施的固废分类及要求的培训，未能提供培训记录表，不符合 GB/T24001-2016标准7.2 条款“组织应保留适当的文件化信息作为能力的证据”；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余家龙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1910" cy="9046210"/>
            <wp:effectExtent l="0" t="0" r="8890" b="6350"/>
            <wp:docPr id="1" name="图片 1" descr="太久二阶段扫描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太久二阶段扫描_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04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bookmarkEnd w:id="18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020EC"/>
    <w:rsid w:val="130879E7"/>
    <w:rsid w:val="6AF52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2022-01-15T07:45:11Z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