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1351-2021-E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邯郸市永年区大久五金制品有限公司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2022年01月06日 上午至2022年01月06日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2020-N1EMS-1262293</w:t>
            </w:r>
          </w:p>
        </w:tc>
        <w:tc>
          <w:tcPr>
            <w:tcW w:w="1140" w:type="dxa"/>
            <w:vAlign w:val="center"/>
          </w:tcPr>
          <w:p>
            <w:pPr>
              <w:spacing w:line="240" w:lineRule="exact"/>
              <w:jc w:val="center"/>
              <w:rPr>
                <w:b/>
                <w:color w:val="000000"/>
                <w:szCs w:val="21"/>
              </w:rPr>
            </w:pPr>
            <w:r>
              <w:rPr>
                <w:b/>
                <w:color w:val="000000"/>
                <w:szCs w:val="21"/>
              </w:rPr>
              <w:t>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邯郸市永年区大久五金制品有限公司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河北省邯郸市永年区临洺关镇东名阳村铁西工业园区G-91号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057150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河北省邯郸市永年区河北铺新商城4-3-1</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057150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程娜</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15511098000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hint="eastAsia" w:ascii="宋体" w:eastAsia="宋体"/>
                <w:b/>
                <w:color w:val="000000"/>
                <w:szCs w:val="21"/>
                <w:lang w:eastAsia="zh-CN"/>
              </w:rPr>
            </w:pPr>
            <w:r>
              <w:rPr>
                <w:rFonts w:hint="eastAsia" w:ascii="宋体"/>
                <w:b/>
                <w:color w:val="000000"/>
                <w:szCs w:val="21"/>
                <w:lang w:val="en-US" w:eastAsia="zh-CN"/>
              </w:rPr>
              <w:t>程娜</w:t>
            </w:r>
            <w:bookmarkStart w:id="35" w:name="_GoBack"/>
            <w:bookmarkEnd w:id="35"/>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val="en-US" w:eastAsia="zh-CN"/>
              </w:rPr>
            </w:pPr>
            <w:r>
              <w:rPr>
                <w:rFonts w:hint="eastAsia" w:ascii="宋体"/>
                <w:b/>
                <w:color w:val="000000"/>
                <w:szCs w:val="21"/>
                <w:lang w:val="en-US" w:eastAsia="zh-CN"/>
              </w:rPr>
              <w:t>白梦轩</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3" w:name="审核范围"/>
            <w:r>
              <w:t>紧固件（螺栓、螺母、预埋件、锻打异形件）的销售所涉及场所的相关环境管理活动</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eastAsia="仿宋_GB2312"/>
              </w:rPr>
            </w:pPr>
            <w:r>
              <w:rPr>
                <w:rFonts w:hint="eastAsia" w:eastAsia="仿宋_GB2312"/>
              </w:rPr>
              <w:t>产品销售流程：</w:t>
            </w:r>
          </w:p>
          <w:p>
            <w:pPr>
              <w:ind w:left="315" w:hanging="315" w:hangingChars="150"/>
              <w:rPr>
                <w:rFonts w:hint="eastAsia" w:ascii="宋体" w:hAnsi="宋体"/>
              </w:rPr>
            </w:pPr>
          </w:p>
          <w:p>
            <w:pPr>
              <w:ind w:left="315" w:hanging="315" w:hangingChars="150"/>
              <w:rPr>
                <w:rFonts w:hint="eastAsia" w:ascii="宋体" w:hAnsi="宋体" w:cs="宋体"/>
                <w:bCs/>
                <w:kern w:val="0"/>
              </w:rPr>
            </w:pPr>
            <w:r>
              <w:rPr>
                <w:rFonts w:hint="eastAsia"/>
              </w:rPr>
              <w:pict>
                <v:line id="_x0000_s1028" o:spid="_x0000_s1028" o:spt="20" style="position:absolute;left:0pt;margin-left:343.5pt;margin-top:7.3pt;height:0pt;width:26.25pt;z-index:251668480;mso-width-relative:page;mso-height-relative:page;" coordsize="21600,21600">
                  <v:path arrowok="t"/>
                  <v:fill focussize="0,0"/>
                  <v:stroke endarrow="block"/>
                  <v:imagedata o:title=""/>
                  <o:lock v:ext="edit"/>
                </v:line>
              </w:pict>
            </w:r>
            <w:r>
              <w:rPr>
                <w:rFonts w:hint="eastAsia"/>
              </w:rPr>
              <w:pict>
                <v:line id="_x0000_s1029" o:spid="_x0000_s1029" o:spt="20" style="position:absolute;left:0pt;margin-left:272.25pt;margin-top:7.3pt;height:0pt;width:26.25pt;z-index:251665408;mso-width-relative:page;mso-height-relative:page;" coordsize="21600,21600">
                  <v:path arrowok="t"/>
                  <v:fill focussize="0,0"/>
                  <v:stroke endarrow="block"/>
                  <v:imagedata o:title=""/>
                  <o:lock v:ext="edit"/>
                </v:line>
              </w:pict>
            </w:r>
            <w:r>
              <w:rPr>
                <w:rFonts w:hint="eastAsia"/>
              </w:rPr>
              <w:pict>
                <v:line id="_x0000_s1030" o:spid="_x0000_s1030" o:spt="20" style="position:absolute;left:0pt;margin-left:201.75pt;margin-top:7.3pt;height:0pt;width:26.25pt;z-index:251664384;mso-width-relative:page;mso-height-relative:page;" coordsize="21600,21600">
                  <v:path arrowok="t"/>
                  <v:fill focussize="0,0"/>
                  <v:stroke endarrow="block"/>
                  <v:imagedata o:title=""/>
                  <o:lock v:ext="edit"/>
                </v:line>
              </w:pict>
            </w:r>
            <w:r>
              <w:rPr>
                <w:rFonts w:hint="eastAsia"/>
              </w:rPr>
              <w:pict>
                <v:line id="_x0000_s1031" o:spid="_x0000_s1031" o:spt="20" style="position:absolute;left:0pt;margin-left:109.55pt;margin-top:7.3pt;height:0pt;width:26.25pt;z-index:251663360;mso-width-relative:page;mso-height-relative:page;" coordsize="21600,21600">
                  <v:path arrowok="t"/>
                  <v:fill focussize="0,0"/>
                  <v:stroke endarrow="block"/>
                  <v:imagedata o:title=""/>
                  <o:lock v:ext="edit"/>
                </v:line>
              </w:pict>
            </w:r>
            <w:r>
              <w:rPr>
                <w:rFonts w:hint="eastAsia"/>
              </w:rPr>
              <w:pict>
                <v:line id="_x0000_s1032" o:spid="_x0000_s1032" o:spt="20" style="position:absolute;left:0pt;margin-left:68.2pt;margin-top:7.3pt;height:0pt;width:26.25pt;z-index:251662336;mso-width-relative:page;mso-height-relative:page;" coordsize="21600,21600">
                  <v:path arrowok="t"/>
                  <v:fill focussize="0,0"/>
                  <v:stroke endarrow="block"/>
                  <v:imagedata o:title=""/>
                  <o:lock v:ext="edit"/>
                </v:line>
              </w:pict>
            </w:r>
            <w:r>
              <w:rPr>
                <w:rFonts w:hint="eastAsia" w:ascii="宋体" w:hAnsi="宋体"/>
              </w:rPr>
              <w:t xml:space="preserve">  </w:t>
            </w:r>
            <w:r>
              <w:rPr>
                <w:rFonts w:hint="eastAsia" w:ascii="宋体" w:hAnsi="宋体" w:cs="宋体"/>
                <w:bCs/>
                <w:kern w:val="0"/>
              </w:rPr>
              <w:t xml:space="preserve">确定顾客需求    洽谈    服务要求评审      签订合同     组织货源    </w:t>
            </w:r>
          </w:p>
          <w:p>
            <w:pPr>
              <w:ind w:left="315" w:hanging="315" w:hangingChars="150"/>
              <w:rPr>
                <w:rFonts w:hint="eastAsia" w:ascii="宋体" w:hAnsi="宋体" w:cs="宋体"/>
                <w:bCs/>
                <w:kern w:val="0"/>
              </w:rPr>
            </w:pPr>
          </w:p>
          <w:p>
            <w:pPr>
              <w:tabs>
                <w:tab w:val="left" w:pos="360"/>
              </w:tabs>
              <w:ind w:left="360" w:hanging="360"/>
              <w:rPr>
                <w:rFonts w:ascii="宋体"/>
                <w:color w:val="000000"/>
                <w:szCs w:val="21"/>
              </w:rPr>
            </w:pPr>
            <w:r>
              <w:rPr>
                <w:rFonts w:hint="eastAsia"/>
              </w:rPr>
              <w:pict>
                <v:line id="_x0000_s1033" o:spid="_x0000_s1033" o:spt="20" style="position:absolute;left:0pt;margin-left:40.55pt;margin-top:9.7pt;height:0pt;width:26.25pt;z-index:251667456;mso-width-relative:page;mso-height-relative:page;" coordsize="21600,21600">
                  <v:path arrowok="t"/>
                  <v:fill focussize="0,0"/>
                  <v:stroke endarrow="block"/>
                  <v:imagedata o:title=""/>
                  <o:lock v:ext="edit"/>
                </v:line>
              </w:pict>
            </w:r>
            <w:r>
              <w:rPr>
                <w:rFonts w:hint="eastAsia"/>
              </w:rPr>
              <w:pict>
                <v:line id="_x0000_s1034" o:spid="_x0000_s1034" o:spt="20" style="position:absolute;left:0pt;margin-left:83.3pt;margin-top:9.7pt;height:0pt;width:26.25pt;z-index:251666432;mso-width-relative:page;mso-height-relative:page;" coordsize="21600,21600">
                  <v:path arrowok="t"/>
                  <v:fill focussize="0,0"/>
                  <v:stroke endarrow="block"/>
                  <v:imagedata o:title=""/>
                  <o:lock v:ext="edit"/>
                </v:line>
              </w:pict>
            </w:r>
            <w:r>
              <w:rPr>
                <w:rFonts w:hint="eastAsia" w:ascii="宋体" w:hAnsi="宋体" w:cs="宋体"/>
                <w:bCs/>
                <w:kern w:val="0"/>
              </w:rPr>
              <w:t>产品交付    结算      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紧固件（螺栓、螺母、预埋件、锻打异形件）的销售所涉及场所的相关环境管理活动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邯郸市永年区大久五金制品有限公司</w:t>
            </w:r>
            <w:r>
              <w:rPr>
                <w:rFonts w:hint="eastAsia" w:eastAsia="黑体"/>
                <w:szCs w:val="21"/>
                <w:lang w:val="en-US" w:eastAsia="zh-CN"/>
              </w:rPr>
              <w:t>/</w:t>
            </w:r>
            <w:r>
              <w:rPr>
                <w:sz w:val="21"/>
                <w:szCs w:val="21"/>
              </w:rPr>
              <w:t>河北省邯郸市永年区临洺关镇东名阳村铁西工业园区G-91号</w:t>
            </w:r>
          </w:p>
        </w:tc>
        <w:tc>
          <w:tcPr>
            <w:tcW w:w="2267" w:type="dxa"/>
          </w:tcPr>
          <w:p>
            <w:pPr>
              <w:spacing w:before="40" w:after="40"/>
              <w:rPr>
                <w:rFonts w:eastAsia="黑体"/>
                <w:szCs w:val="21"/>
                <w:lang w:val="de-DE" w:eastAsia="ja-JP"/>
              </w:rPr>
            </w:pPr>
            <w:r>
              <w:rPr>
                <w:sz w:val="21"/>
                <w:szCs w:val="21"/>
              </w:rPr>
              <w:t>河北省邯郸市永年区河北铺新商城4-3-1</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20"/>
              <w:rPr>
                <w:rFonts w:eastAsia="黑体" w:cs="Arial"/>
                <w:sz w:val="21"/>
                <w:szCs w:val="21"/>
                <w:lang w:val="en-US" w:eastAsia="ja-JP"/>
              </w:rPr>
            </w:pPr>
            <w:r>
              <w:rPr>
                <w:rFonts w:hint="eastAsia" w:ascii="宋体" w:hAnsi="宋体"/>
                <w:b/>
                <w:color w:val="000000"/>
                <w:szCs w:val="21"/>
              </w:rPr>
              <w:t>紧固件（螺栓、螺母、预埋件、锻打异形件）的销售所涉及场所的相关环境管理活动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GB/T24001-2016/ISO 14001:2015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de-DE" w:eastAsia="zh-CN" w:bidi="ar-SA"/>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en-GB" w:eastAsia="zh-CN" w:bidi="ar-SA"/>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en-GB" w:eastAsia="zh-CN" w:bidi="ar-SA"/>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4" w:name="二阶段审核日期"/>
            <w:r>
              <w:rPr>
                <w:rFonts w:hint="eastAsia" w:ascii="宋体"/>
                <w:b/>
                <w:color w:val="000000"/>
                <w:szCs w:val="21"/>
              </w:rPr>
              <w:t>2022-01-</w:t>
            </w:r>
            <w:bookmarkEnd w:id="34"/>
            <w:r>
              <w:rPr>
                <w:rFonts w:hint="eastAsia" w:ascii="宋体"/>
                <w:b/>
                <w:color w:val="000000"/>
                <w:szCs w:val="21"/>
                <w:lang w:val="en-US" w:eastAsia="zh-CN"/>
              </w:rPr>
              <w:t>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紧固件（螺栓、螺母、预埋件、锻打异形件）的销售所涉及场所的相关环境管理活动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2022年1月6日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vAlign w:val="top"/>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ascii="Times New Roman" w:hAnsi="Times New Roman" w:eastAsia="宋体" w:cs="Times New Roman"/>
                <w:b/>
                <w:color w:val="000000"/>
                <w:kern w:val="2"/>
                <w:sz w:val="21"/>
                <w:szCs w:val="21"/>
                <w:lang w:val="en-US" w:eastAsia="zh-CN" w:bidi="ar-SA"/>
              </w:rPr>
            </w:pPr>
            <w:r>
              <w:rPr>
                <w:rFonts w:hint="eastAsia"/>
                <w:b/>
                <w:color w:val="000000"/>
                <w:szCs w:val="21"/>
              </w:rPr>
              <w:t>日期：</w:t>
            </w:r>
            <w:r>
              <w:rPr>
                <w:rFonts w:hint="eastAsia"/>
                <w:b/>
                <w:color w:val="000000"/>
                <w:szCs w:val="21"/>
                <w:lang w:val="en-US" w:eastAsia="zh-CN"/>
              </w:rPr>
              <w:t>2022年1月6日</w:t>
            </w:r>
          </w:p>
        </w:tc>
        <w:tc>
          <w:tcPr>
            <w:tcW w:w="5392" w:type="dxa"/>
            <w:gridSpan w:val="4"/>
            <w:vAlign w:val="top"/>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ascii="Times New Roman" w:hAnsi="Times New Roman" w:eastAsia="宋体" w:cs="Times New Roman"/>
                <w:b/>
                <w:color w:val="000000"/>
                <w:kern w:val="2"/>
                <w:sz w:val="21"/>
                <w:szCs w:val="21"/>
                <w:lang w:val="en-US" w:eastAsia="zh-CN" w:bidi="ar-SA"/>
              </w:rPr>
            </w:pPr>
            <w:r>
              <w:rPr>
                <w:rFonts w:hint="eastAsia"/>
                <w:b/>
                <w:color w:val="000000"/>
                <w:szCs w:val="21"/>
              </w:rPr>
              <w:t>日期：</w:t>
            </w:r>
            <w:r>
              <w:rPr>
                <w:rFonts w:hint="eastAsia"/>
                <w:b/>
                <w:color w:val="000000"/>
                <w:szCs w:val="21"/>
                <w:lang w:val="en-US" w:eastAsia="zh-CN"/>
              </w:rPr>
              <w:t>2022年1月6日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vAlign w:val="top"/>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rFonts w:ascii="Times New Roman"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vAlign w:val="top"/>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rFonts w:hint="default" w:ascii="Times New Roman" w:hAnsi="Times New Roman" w:eastAsia="宋体" w:cs="Times New Roman"/>
                <w:b/>
                <w:color w:val="000000"/>
                <w:kern w:val="2"/>
                <w:sz w:val="21"/>
                <w:szCs w:val="21"/>
                <w:lang w:val="en-US" w:eastAsia="zh-CN" w:bidi="ar-SA"/>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2022年1月6日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vAlign w:val="top"/>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hAnsi="Times New Roman" w:eastAsia="宋体" w:cs="Times New Roman"/>
                <w:b/>
                <w:bCs/>
                <w:color w:val="000000"/>
                <w:spacing w:val="-8"/>
                <w:kern w:val="2"/>
                <w:sz w:val="21"/>
                <w:szCs w:val="21"/>
                <w:lang w:val="en-US" w:eastAsia="zh-CN" w:bidi="ar-SA"/>
              </w:rPr>
            </w:pPr>
          </w:p>
        </w:tc>
      </w:tr>
    </w:tbl>
    <w:p>
      <w:pPr>
        <w:rPr>
          <w:rFonts w:ascii="宋体"/>
          <w:b/>
          <w:color w:val="000000"/>
          <w:szCs w:val="21"/>
        </w:rPr>
      </w:pPr>
      <w:r>
        <w:rPr>
          <w:rFonts w:ascii="宋体"/>
          <w:b/>
          <w:color w:val="000000"/>
          <w:szCs w:val="21"/>
        </w:rPr>
        <w:br w:type="page"/>
      </w:r>
    </w:p>
    <w:p>
      <w:pPr>
        <w:pStyle w:val="2"/>
        <w:rPr>
          <w:rFonts w:hint="eastAsia" w:eastAsia="宋体"/>
          <w:lang w:eastAsia="zh-CN"/>
        </w:rPr>
      </w:pPr>
      <w:r>
        <w:rPr>
          <w:rFonts w:hint="eastAsia" w:eastAsia="宋体"/>
          <w:lang w:eastAsia="zh-CN"/>
        </w:rPr>
        <w:drawing>
          <wp:inline distT="0" distB="0" distL="114300" distR="114300">
            <wp:extent cx="6187440" cy="8757285"/>
            <wp:effectExtent l="0" t="0" r="0" b="5715"/>
            <wp:docPr id="3" name="图片 3" descr="太久一阶段扫描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太久一阶段扫描_09"/>
                    <pic:cNvPicPr>
                      <a:picLocks noChangeAspect="1"/>
                    </pic:cNvPicPr>
                  </pic:nvPicPr>
                  <pic:blipFill>
                    <a:blip r:embed="rId6"/>
                    <a:stretch>
                      <a:fillRect/>
                    </a:stretch>
                  </pic:blipFill>
                  <pic:spPr>
                    <a:xfrm>
                      <a:off x="0" y="0"/>
                      <a:ext cx="6187440" cy="8757285"/>
                    </a:xfrm>
                    <a:prstGeom prst="rect">
                      <a:avLst/>
                    </a:prstGeom>
                  </pic:spPr>
                </pic:pic>
              </a:graphicData>
            </a:graphic>
          </wp:inline>
        </w:drawing>
      </w:r>
      <w:r>
        <w:rPr>
          <w:rFonts w:hint="eastAsia" w:eastAsia="宋体"/>
          <w:lang w:eastAsia="zh-CN"/>
        </w:rPr>
        <w:drawing>
          <wp:inline distT="0" distB="0" distL="114300" distR="114300">
            <wp:extent cx="6187440" cy="8757285"/>
            <wp:effectExtent l="0" t="0" r="0" b="5715"/>
            <wp:docPr id="5" name="图片 5" descr="太久一阶段扫描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太久一阶段扫描_10"/>
                    <pic:cNvPicPr>
                      <a:picLocks noChangeAspect="1"/>
                    </pic:cNvPicPr>
                  </pic:nvPicPr>
                  <pic:blipFill>
                    <a:blip r:embed="rId7"/>
                    <a:stretch>
                      <a:fillRect/>
                    </a:stretch>
                  </pic:blipFill>
                  <pic:spPr>
                    <a:xfrm>
                      <a:off x="0" y="0"/>
                      <a:ext cx="6187440" cy="8757285"/>
                    </a:xfrm>
                    <a:prstGeom prst="rect">
                      <a:avLst/>
                    </a:prstGeom>
                  </pic:spPr>
                </pic:pic>
              </a:graphicData>
            </a:graphic>
          </wp:inline>
        </w:drawing>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EC1970"/>
    <w:rsid w:val="055409F2"/>
    <w:rsid w:val="342E3306"/>
    <w:rsid w:val="412F2493"/>
    <w:rsid w:val="509E798B"/>
    <w:rsid w:val="7E8016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2022-01-15T07:40:12Z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