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1368-2021-H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江苏鲜时农业科技有限公司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江苏鲜时农业科技有限公司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泰兴市农产品加工园区创园东路6号</w:t>
            </w:r>
            <w:bookmarkEnd w:id="8"/>
          </w:p>
        </w:tc>
        <w:tc>
          <w:tcPr>
            <w:tcW w:w="1242" w:type="dxa"/>
            <w:vMerge w:val="restart"/>
            <w:vAlign w:val="center"/>
          </w:tcPr>
          <w:p>
            <w:r>
              <w:rPr>
                <w:rFonts w:hint="eastAsia"/>
              </w:rPr>
              <w:t>邮编</w:t>
            </w:r>
          </w:p>
        </w:tc>
        <w:tc>
          <w:tcPr>
            <w:tcW w:w="1771" w:type="dxa"/>
          </w:tcPr>
          <w:p>
            <w:bookmarkStart w:id="9" w:name="注册邮编"/>
            <w:r>
              <w:t>225400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江苏省泰州市泰兴市农产品加工园区创园东路6号</w:t>
            </w:r>
            <w:bookmarkEnd w:id="10"/>
          </w:p>
        </w:tc>
        <w:tc>
          <w:tcPr>
            <w:tcW w:w="1242" w:type="dxa"/>
            <w:vMerge w:val="continue"/>
            <w:vAlign w:val="center"/>
          </w:tcPr>
          <w:p/>
        </w:tc>
        <w:tc>
          <w:tcPr>
            <w:tcW w:w="1771" w:type="dxa"/>
          </w:tcPr>
          <w:p>
            <w:bookmarkStart w:id="11" w:name="办公邮编"/>
            <w:r>
              <w:t>225400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刘娟</w:t>
            </w:r>
            <w:bookmarkEnd w:id="12"/>
          </w:p>
        </w:tc>
        <w:tc>
          <w:tcPr>
            <w:tcW w:w="1313" w:type="dxa"/>
            <w:vAlign w:val="center"/>
          </w:tcPr>
          <w:p>
            <w:r>
              <w:rPr>
                <w:rFonts w:hint="eastAsia"/>
              </w:rPr>
              <w:t>电话.</w:t>
            </w:r>
          </w:p>
        </w:tc>
        <w:tc>
          <w:tcPr>
            <w:tcW w:w="2180" w:type="dxa"/>
            <w:vAlign w:val="center"/>
          </w:tcPr>
          <w:p>
            <w:bookmarkStart w:id="13" w:name="联系人电话"/>
            <w:r>
              <w:t>13522905256</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5" w:name="法人"/>
            <w:r>
              <w:t>杨磊</w:t>
            </w:r>
            <w:bookmarkEnd w:id="15"/>
          </w:p>
        </w:tc>
        <w:tc>
          <w:tcPr>
            <w:tcW w:w="1313" w:type="dxa"/>
            <w:vAlign w:val="center"/>
          </w:tcPr>
          <w:p>
            <w:r>
              <w:rPr>
                <w:rFonts w:hint="eastAsia"/>
              </w:rPr>
              <w:t>管理者代表</w:t>
            </w:r>
          </w:p>
        </w:tc>
        <w:tc>
          <w:tcPr>
            <w:tcW w:w="2180" w:type="dxa"/>
          </w:tcPr>
          <w:p>
            <w:pPr>
              <w:rPr>
                <w:rFonts w:hint="eastAsia" w:eastAsia="宋体"/>
                <w:lang w:eastAsia="zh-CN"/>
              </w:rPr>
            </w:pPr>
            <w:bookmarkStart w:id="16" w:name="管理者代表"/>
            <w:r>
              <w:t>刘娟</w:t>
            </w:r>
            <w:bookmarkEnd w:id="16"/>
            <w:r>
              <w:rPr>
                <w:rFonts w:hint="eastAsia"/>
                <w:lang w:eastAsia="zh-CN"/>
              </w:rPr>
              <w:t>（</w:t>
            </w:r>
            <w:r>
              <w:rPr>
                <w:rFonts w:hint="eastAsia"/>
                <w:lang w:val="en-US" w:eastAsia="zh-CN"/>
              </w:rPr>
              <w:t>食安小组副组长</w:t>
            </w:r>
            <w:r>
              <w:rPr>
                <w:rFonts w:hint="eastAsia"/>
                <w:lang w:eastAsia="zh-CN"/>
              </w:rPr>
              <w:t>）</w:t>
            </w:r>
          </w:p>
        </w:tc>
        <w:tc>
          <w:tcPr>
            <w:tcW w:w="1242" w:type="dxa"/>
          </w:tcPr>
          <w:p>
            <w:r>
              <w:rPr>
                <w:rFonts w:hint="eastAsia"/>
              </w:rPr>
              <w:t>邮箱</w:t>
            </w:r>
          </w:p>
        </w:tc>
        <w:tc>
          <w:tcPr>
            <w:tcW w:w="1771" w:type="dxa"/>
          </w:tcPr>
          <w:p>
            <w:bookmarkStart w:id="17" w:name="联系人邮箱"/>
            <w:r>
              <w:rPr>
                <w:sz w:val="21"/>
                <w:szCs w:val="21"/>
              </w:rPr>
              <w:t>649492880@qq.com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480" w:lineRule="auto"/>
              <w:jc w:val="left"/>
              <w:rPr>
                <w:sz w:val="20"/>
              </w:rPr>
            </w:pPr>
            <w:r>
              <w:rPr>
                <w:sz w:val="20"/>
              </w:rPr>
              <w:t>1. 热菜加工/配送流程流程：</w:t>
            </w:r>
          </w:p>
          <w:p>
            <w:pPr>
              <w:snapToGrid w:val="0"/>
              <w:spacing w:line="480" w:lineRule="auto"/>
              <w:ind w:firstLine="400" w:firstLineChars="200"/>
              <w:jc w:val="left"/>
              <w:rPr>
                <w:sz w:val="20"/>
              </w:rPr>
            </w:pPr>
            <w:r>
              <w:rPr>
                <w:sz w:val="20"/>
              </w:rPr>
              <w:t>原料采购验收→原料贮存→粗加工→烹制→成品分餐→留样（适用时）→配送</w:t>
            </w:r>
          </w:p>
          <w:p>
            <w:pPr>
              <w:snapToGrid w:val="0"/>
              <w:spacing w:line="480" w:lineRule="auto"/>
              <w:jc w:val="left"/>
              <w:rPr>
                <w:sz w:val="20"/>
              </w:rPr>
            </w:pPr>
            <w:r>
              <w:rPr>
                <w:sz w:val="20"/>
              </w:rPr>
              <w:t>2. 米饭加工/配送流程图</w:t>
            </w:r>
          </w:p>
          <w:p>
            <w:pPr>
              <w:snapToGrid w:val="0"/>
              <w:spacing w:line="480" w:lineRule="auto"/>
              <w:ind w:firstLine="400" w:firstLineChars="200"/>
              <w:jc w:val="left"/>
              <w:rPr>
                <w:sz w:val="20"/>
              </w:rPr>
            </w:pPr>
            <w:r>
              <w:rPr>
                <w:sz w:val="20"/>
              </w:rPr>
              <w:t>大米→淘洗→分机蒸制→分餐→配送</w:t>
            </w:r>
          </w:p>
          <w:p>
            <w:pPr>
              <w:snapToGrid w:val="0"/>
              <w:spacing w:line="480" w:lineRule="auto"/>
              <w:jc w:val="left"/>
              <w:rPr>
                <w:sz w:val="20"/>
              </w:rPr>
            </w:pPr>
            <w:r>
              <w:rPr>
                <w:sz w:val="20"/>
              </w:rPr>
              <w:t>3. 餐具清洗消毒：</w:t>
            </w:r>
          </w:p>
          <w:p>
            <w:r>
              <w:rPr>
                <w:sz w:val="20"/>
              </w:rPr>
              <w:t>餐具→回收→清洗→消毒→备用</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2022年01月03日 下午</w:t>
            </w:r>
            <w:r>
              <w:rPr>
                <w:rFonts w:hint="eastAsia"/>
                <w:lang w:val="en-US" w:eastAsia="zh-CN"/>
              </w:rPr>
              <w:t>12：00</w:t>
            </w:r>
            <w:r>
              <w:rPr>
                <w:rFonts w:hint="eastAsia"/>
              </w:rPr>
              <w:t>至2022年01月07日 上午</w:t>
            </w:r>
            <w:bookmarkEnd w:id="18"/>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rPr>
                <w:lang w:val="de-DE"/>
              </w:rPr>
            </w:pPr>
            <w:r>
              <w:rPr>
                <w:rFonts w:hint="eastAsia"/>
                <w:lang w:val="de-DE"/>
              </w:rPr>
              <w:t>HACCP：</w:t>
            </w:r>
            <w:r>
              <w:rPr>
                <w:rFonts w:hint="eastAsia" w:ascii="宋体" w:hAnsi="宋体"/>
                <w:b/>
                <w:color w:val="000000"/>
                <w:szCs w:val="21"/>
                <w:lang w:val="de-DE"/>
              </w:rPr>
              <w:t>■ 《危害分析与关键控制点（HACCP体系）认证要求》（V1.0）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rPr>
              <w:t>位于江苏省泰州市泰兴市农产品加工园区创园东路6号江苏鲜时农业科技有限公司集体用餐制作、配送服务（热食类食品制售）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E</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tabs>
                <w:tab w:val="center" w:pos="1258"/>
              </w:tabs>
              <w:rPr>
                <w:rFonts w:hint="eastAsia" w:eastAsia="宋体"/>
                <w:lang w:eastAsia="zh-CN"/>
              </w:rPr>
            </w:pPr>
            <w:r>
              <w:rPr>
                <w:rFonts w:hint="eastAsia"/>
              </w:rPr>
              <w:t>年月日</w:t>
            </w:r>
            <w:r>
              <w:rPr>
                <w:rFonts w:hint="eastAsia"/>
                <w:lang w:eastAsia="zh-CN"/>
              </w:rPr>
              <w:t>（</w:t>
            </w:r>
            <w:r>
              <w:rPr>
                <w:rFonts w:hint="eastAsia"/>
                <w:lang w:val="en-US" w:eastAsia="zh-CN"/>
              </w:rPr>
              <w:t>初审</w:t>
            </w:r>
            <w:r>
              <w:rPr>
                <w:rFonts w:hint="eastAsia"/>
                <w:lang w:eastAsia="zh-CN"/>
              </w:rPr>
              <w:t>）</w:t>
            </w:r>
          </w:p>
        </w:tc>
        <w:tc>
          <w:tcPr>
            <w:tcW w:w="1883" w:type="dxa"/>
            <w:vAlign w:val="center"/>
          </w:tcPr>
          <w:p>
            <w:pPr>
              <w:rPr>
                <w:strike/>
                <w:dstrike w:val="0"/>
              </w:rPr>
            </w:pPr>
            <w:r>
              <w:rPr>
                <w:rFonts w:hint="eastAsia"/>
                <w:strike/>
                <w:dstrike w:val="0"/>
              </w:rPr>
              <w:t>认证证书有效期</w:t>
            </w:r>
          </w:p>
          <w:p>
            <w:pPr>
              <w:rPr>
                <w:strike/>
                <w:dstrike w:val="0"/>
              </w:rPr>
            </w:pPr>
            <w:r>
              <w:rPr>
                <w:rFonts w:hint="eastAsia"/>
                <w:strike/>
                <w:dstrike w:val="0"/>
              </w:rPr>
              <w:t>（初审除外）</w:t>
            </w:r>
          </w:p>
        </w:tc>
        <w:tc>
          <w:tcPr>
            <w:tcW w:w="3215" w:type="dxa"/>
            <w:vAlign w:val="center"/>
          </w:tcPr>
          <w:p>
            <w:pPr>
              <w:rPr>
                <w:strike/>
                <w:dstrike w:val="0"/>
              </w:rPr>
            </w:pPr>
            <w:r>
              <w:rPr>
                <w:rFonts w:hint="eastAsia"/>
                <w:strike/>
                <w:dstrike w:val="0"/>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江苏鲜时农业科技有限公司</w:t>
            </w:r>
          </w:p>
          <w:p>
            <w:pPr>
              <w:pStyle w:val="2"/>
              <w:rPr>
                <w:lang w:val="de-DE" w:eastAsia="ja-JP"/>
              </w:rPr>
            </w:pPr>
            <w:r>
              <w:rPr>
                <w:rFonts w:asciiTheme="minorEastAsia" w:hAnsiTheme="minorEastAsia" w:eastAsiaTheme="minorEastAsia"/>
                <w:sz w:val="20"/>
              </w:rPr>
              <w:t>泰兴市农产品加工园区创园东路6号</w:t>
            </w:r>
          </w:p>
        </w:tc>
        <w:tc>
          <w:tcPr>
            <w:tcW w:w="2267" w:type="dxa"/>
          </w:tcPr>
          <w:p>
            <w:pPr>
              <w:rPr>
                <w:lang w:val="de-DE" w:eastAsia="ja-JP"/>
              </w:rPr>
            </w:pPr>
            <w:r>
              <w:rPr>
                <w:rFonts w:asciiTheme="minorEastAsia" w:hAnsiTheme="minorEastAsia" w:eastAsiaTheme="minorEastAsia"/>
                <w:sz w:val="20"/>
              </w:rPr>
              <w:t>江苏省泰州市泰兴市农产品加工园区创园东路6号</w:t>
            </w:r>
          </w:p>
        </w:tc>
        <w:tc>
          <w:tcPr>
            <w:tcW w:w="571" w:type="dxa"/>
            <w:vAlign w:val="center"/>
          </w:tcPr>
          <w:p>
            <w:pPr>
              <w:rPr>
                <w:rFonts w:hint="default" w:eastAsia="宋体"/>
                <w:lang w:val="en-US" w:eastAsia="zh-CN"/>
              </w:rPr>
            </w:pPr>
            <w:r>
              <w:rPr>
                <w:rFonts w:hint="eastAsia"/>
                <w:lang w:val="en-US" w:eastAsia="zh-CN"/>
              </w:rPr>
              <w:t>120</w:t>
            </w:r>
          </w:p>
        </w:tc>
        <w:tc>
          <w:tcPr>
            <w:tcW w:w="2803" w:type="dxa"/>
            <w:vAlign w:val="center"/>
          </w:tcPr>
          <w:p>
            <w:pPr>
              <w:rPr>
                <w:lang w:eastAsia="ja-JP"/>
              </w:rPr>
            </w:pPr>
            <w:r>
              <w:rPr>
                <w:rFonts w:hint="eastAsia"/>
                <w:lang w:eastAsia="ja-JP"/>
              </w:rPr>
              <w:t>位于江苏省泰州市泰兴市农产品加工园区创园东路6号江苏鲜时农业科技有限公司集体用餐制作、配送服务（热食类食品制售）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9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38" w:type="dxa"/>
            <w:vAlign w:val="center"/>
          </w:tcPr>
          <w:p>
            <w:r>
              <w:rPr>
                <w:rFonts w:hint="eastAsia"/>
              </w:rPr>
              <w:t>姓名</w:t>
            </w:r>
          </w:p>
        </w:tc>
        <w:tc>
          <w:tcPr>
            <w:tcW w:w="159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38" w:type="dxa"/>
            <w:vAlign w:val="center"/>
          </w:tcPr>
          <w:p>
            <w:r>
              <w:t>肖新龙</w:t>
            </w:r>
          </w:p>
        </w:tc>
        <w:tc>
          <w:tcPr>
            <w:tcW w:w="159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38" w:type="dxa"/>
            <w:vAlign w:val="center"/>
          </w:tcPr>
          <w:p>
            <w:r>
              <w:t>任泽华</w:t>
            </w:r>
          </w:p>
        </w:tc>
        <w:tc>
          <w:tcPr>
            <w:tcW w:w="1599" w:type="dxa"/>
            <w:vAlign w:val="center"/>
          </w:tcPr>
          <w:p>
            <w:pPr>
              <w:rPr>
                <w:rFonts w:hint="eastAsia" w:eastAsia="宋体"/>
                <w:lang w:eastAsia="zh-CN"/>
              </w:rPr>
            </w:pPr>
            <w:r>
              <w:t>组员</w:t>
            </w:r>
            <w:r>
              <w:rPr>
                <w:rFonts w:hint="eastAsia"/>
                <w:lang w:eastAsia="zh-CN"/>
              </w:rPr>
              <w:t>（</w:t>
            </w:r>
            <w:r>
              <w:rPr>
                <w:rFonts w:hint="eastAsia"/>
                <w:lang w:val="en-US" w:eastAsia="zh-CN"/>
              </w:rPr>
              <w:t>实习</w:t>
            </w:r>
            <w:r>
              <w:rPr>
                <w:rFonts w:hint="eastAsia"/>
                <w:lang w:eastAsia="zh-CN"/>
              </w:rPr>
              <w:t>）</w:t>
            </w:r>
          </w:p>
        </w:tc>
        <w:tc>
          <w:tcPr>
            <w:tcW w:w="711" w:type="dxa"/>
            <w:vAlign w:val="center"/>
          </w:tcPr>
          <w:p>
            <w:r>
              <w:t>男</w:t>
            </w:r>
          </w:p>
        </w:tc>
        <w:tc>
          <w:tcPr>
            <w:tcW w:w="3870" w:type="dxa"/>
            <w:vAlign w:val="center"/>
          </w:tcPr>
          <w:p>
            <w:r>
              <w:t>ISC-59498</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238" w:type="dxa"/>
            <w:vAlign w:val="center"/>
          </w:tcPr>
          <w:p/>
        </w:tc>
        <w:tc>
          <w:tcPr>
            <w:tcW w:w="159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38" w:type="dxa"/>
            <w:vAlign w:val="center"/>
          </w:tcPr>
          <w:p/>
        </w:tc>
        <w:tc>
          <w:tcPr>
            <w:tcW w:w="159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38" w:type="dxa"/>
            <w:vAlign w:val="center"/>
          </w:tcPr>
          <w:p/>
        </w:tc>
        <w:tc>
          <w:tcPr>
            <w:tcW w:w="159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38" w:type="dxa"/>
            <w:vAlign w:val="center"/>
          </w:tcPr>
          <w:p/>
        </w:tc>
        <w:tc>
          <w:tcPr>
            <w:tcW w:w="159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38" w:type="dxa"/>
            <w:vAlign w:val="center"/>
          </w:tcPr>
          <w:p/>
        </w:tc>
        <w:tc>
          <w:tcPr>
            <w:tcW w:w="159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38" w:type="dxa"/>
            <w:vAlign w:val="center"/>
          </w:tcPr>
          <w:p>
            <w:r>
              <w:rPr>
                <w:rFonts w:hint="eastAsia"/>
              </w:rPr>
              <w:t>姓名</w:t>
            </w:r>
          </w:p>
        </w:tc>
        <w:tc>
          <w:tcPr>
            <w:tcW w:w="159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38" w:type="dxa"/>
            <w:vAlign w:val="center"/>
          </w:tcPr>
          <w:p>
            <w:pPr>
              <w:rPr>
                <w:rFonts w:hint="eastAsia" w:eastAsia="宋体"/>
                <w:lang w:eastAsia="zh-CN"/>
              </w:rPr>
            </w:pPr>
            <w:r>
              <w:rPr>
                <w:rFonts w:hint="eastAsia"/>
                <w:lang w:eastAsia="zh-CN"/>
              </w:rPr>
              <w:t>——</w:t>
            </w:r>
          </w:p>
        </w:tc>
        <w:tc>
          <w:tcPr>
            <w:tcW w:w="159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38" w:type="dxa"/>
            <w:vAlign w:val="center"/>
          </w:tcPr>
          <w:p/>
        </w:tc>
        <w:tc>
          <w:tcPr>
            <w:tcW w:w="159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eastAsia="zh-CN"/>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default" w:eastAsia="宋体"/>
          <w:lang w:val="en-US" w:eastAsia="zh-CN"/>
        </w:rPr>
      </w:pPr>
      <w:r>
        <w:rPr>
          <w:rFonts w:hint="eastAsia"/>
        </w:rPr>
        <w:t>八、已识别出的任何未解决的问题：</w:t>
      </w:r>
      <w:r>
        <w:rPr>
          <w:rFonts w:hint="eastAsia"/>
          <w:lang w:eastAsia="zh-CN"/>
        </w:rPr>
        <w:t>——</w:t>
      </w:r>
      <w:r>
        <w:rPr>
          <w:rFonts w:hint="eastAsia"/>
          <w:lang w:val="en-US" w:eastAsia="zh-CN"/>
        </w:rPr>
        <w:t>无</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pPr>
        <w:rPr>
          <w:sz w:val="24"/>
          <w:szCs w:val="24"/>
        </w:rPr>
      </w:pPr>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rPr>
              <w:t>位于江苏省泰州市泰兴市农产品加工园区创园东路6号江苏鲜时农业科技有限公司集体用餐制作、配送服务（热食类食品制售）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1066800" cy="615950"/>
                  <wp:effectExtent l="0" t="0" r="0" b="6350"/>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1066800" cy="615950"/>
                          </a:xfrm>
                          <a:prstGeom prst="rect">
                            <a:avLst/>
                          </a:prstGeom>
                        </pic:spPr>
                      </pic:pic>
                    </a:graphicData>
                  </a:graphic>
                </wp:inline>
              </w:drawing>
            </w:r>
          </w:p>
          <w:p>
            <w:pPr>
              <w:pStyle w:val="2"/>
            </w:pPr>
          </w:p>
          <w:p>
            <w:pPr>
              <w:pStyle w:val="2"/>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2022-01-07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p>
      <w:pPr>
        <w:rPr>
          <w:rFonts w:hint="default" w:ascii="Times New Roman" w:hAnsi="Times New Roman" w:cs="Times New Roman" w:eastAsiaTheme="minorEastAsia"/>
          <w:b/>
          <w:bCs/>
          <w:color w:val="0070C0"/>
          <w:sz w:val="22"/>
          <w:lang w:val="en-US" w:eastAsia="zh-CN"/>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8 </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顾客至上 品质为尊 标准规范 </w:t>
            </w:r>
            <w:r>
              <w:rPr>
                <w:rFonts w:hint="eastAsia"/>
                <w:u w:val="single"/>
                <w:lang w:val="en-US" w:eastAsia="zh-CN"/>
              </w:rPr>
              <w:t xml:space="preserve">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80"/>
              <w:gridCol w:w="2318"/>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08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231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2421"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szCs w:val="22"/>
                      <w:lang w:val="en-US" w:eastAsia="zh-CN"/>
                    </w:rPr>
                    <w:t>2021.08-2021.12</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Times New Roman" w:hAnsi="Times New Roman" w:eastAsia="宋体" w:cs="Times New Roman"/>
                      <w:kern w:val="2"/>
                      <w:sz w:val="21"/>
                      <w:szCs w:val="24"/>
                      <w:lang w:val="en-US" w:eastAsia="zh-CN" w:bidi="ar-SA"/>
                    </w:rPr>
                  </w:pPr>
                  <w:r>
                    <w:rPr>
                      <w:rFonts w:hint="eastAsia"/>
                    </w:rPr>
                    <w:t>产品</w:t>
                  </w:r>
                  <w:r>
                    <w:rPr>
                      <w:rFonts w:hint="eastAsia"/>
                      <w:lang w:val="en-US" w:eastAsia="zh-CN"/>
                    </w:rPr>
                    <w:t>一次检验合格</w:t>
                  </w:r>
                  <w:r>
                    <w:rPr>
                      <w:rFonts w:hint="eastAsia"/>
                    </w:rPr>
                    <w:t>率</w:t>
                  </w:r>
                  <w:r>
                    <w:rPr>
                      <w:rFonts w:hint="eastAsia"/>
                      <w:lang w:val="en-US" w:eastAsia="zh-CN"/>
                    </w:rPr>
                    <w:t>≥95%</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合格数/总数×100%</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GB" w:eastAsia="zh-CN" w:bidi="ar-SA"/>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Times New Roman" w:hAnsi="Times New Roman" w:eastAsia="宋体" w:cs="Times New Roman"/>
                      <w:kern w:val="2"/>
                      <w:sz w:val="21"/>
                      <w:szCs w:val="24"/>
                      <w:lang w:val="en-US" w:eastAsia="zh-CN" w:bidi="ar-SA"/>
                    </w:rPr>
                  </w:pPr>
                  <w:r>
                    <w:rPr>
                      <w:rFonts w:hint="eastAsia"/>
                    </w:rPr>
                    <w:t>重大食品安全事故为0</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季度</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rPr>
                    <w:t>实际发生次数</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080"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8"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42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080"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8"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42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0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31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42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研发人员</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质量部经理等</w:t>
            </w:r>
          </w:p>
          <w:p>
            <w:pPr>
              <w:pStyle w:val="10"/>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cs="Times New Roman"/>
                <w:szCs w:val="21"/>
                <w:lang w:val="en-US" w:eastAsia="zh-CN"/>
              </w:rPr>
              <w:t>新街场监督管理局2021-12-23 来厂进行</w:t>
            </w:r>
            <w:r>
              <w:rPr>
                <w:rFonts w:hint="eastAsia" w:ascii="Times New Roman" w:hAnsi="Times New Roman" w:eastAsia="宋体" w:cs="Times New Roman"/>
                <w:szCs w:val="21"/>
                <w:lang w:val="en-US" w:eastAsia="zh-CN"/>
              </w:rPr>
              <w:t>日常监督检查，</w:t>
            </w:r>
            <w:r>
              <w:rPr>
                <w:rFonts w:hint="eastAsia" w:cs="Times New Roman"/>
                <w:szCs w:val="21"/>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生产部厂长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质量部经理等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年</w:t>
            </w:r>
            <w:r>
              <w:rPr>
                <w:rFonts w:hint="eastAsia" w:ascii="Times New Roman" w:hAnsi="Times New Roman" w:eastAsia="宋体" w:cs="Times New Roman"/>
                <w:color w:val="0000FF"/>
                <w:szCs w:val="21"/>
                <w:u w:val="single"/>
                <w:lang w:val="en-US" w:eastAsia="zh-CN"/>
              </w:rPr>
              <w:t>8-12月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宋体" w:hAnsi="宋体" w:eastAsia="宋体" w:cs="Times New Roman"/>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r>
              <w:rPr>
                <w:rFonts w:hint="eastAsia" w:ascii="宋体" w:hAnsi="宋体" w:eastAsia="宋体" w:cs="Times New Roman"/>
                <w:szCs w:val="21"/>
                <w:lang w:eastAsia="zh-CN"/>
              </w:rPr>
              <w:t>——查内审员管理情况，未提供针对内审员进行HACCP认证要求进行培训的证据。</w:t>
            </w:r>
            <w:r>
              <w:rPr>
                <w:rFonts w:hint="eastAsia" w:ascii="宋体" w:hAnsi="宋体" w:eastAsia="宋体" w:cs="Times New Roman"/>
                <w:szCs w:val="21"/>
                <w:lang w:val="en-US" w:eastAsia="zh-CN"/>
              </w:rPr>
              <w:t>见不符合项报告01</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GB 31654-2021 《食品安全国家标准 餐饮服务通用卫生规范》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21</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主要原材料的供方—  鲜蛋（</w:t>
            </w:r>
            <w:r>
              <w:rPr>
                <w:rFonts w:hint="eastAsia" w:ascii="Times New Roman" w:hAnsi="Times New Roman" w:eastAsia="宋体" w:cs="Times New Roman"/>
                <w:color w:val="0000FF"/>
                <w:szCs w:val="21"/>
                <w:lang w:val="en-US" w:eastAsia="zh-CN"/>
              </w:rPr>
              <w:t>泰兴市优久家禽养殖专业合作社</w:t>
            </w:r>
            <w:r>
              <w:rPr>
                <w:rFonts w:hint="eastAsia" w:ascii="宋体" w:hAnsi="宋体" w:eastAsia="宋体" w:cs="Times New Roman"/>
                <w:color w:val="0000FF"/>
                <w:szCs w:val="21"/>
              </w:rPr>
              <w:t xml:space="preserve">）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ascii="Times New Roman" w:hAnsi="Times New Roman" w:eastAsia="宋体" w:cs="Times New Roman"/>
                <w:color w:val="0000FF"/>
                <w:szCs w:val="21"/>
              </w:rPr>
              <w:t xml:space="preserve">辅料的供方—— </w:t>
            </w:r>
            <w:r>
              <w:rPr>
                <w:rFonts w:hint="eastAsia"/>
                <w:u w:val="single"/>
                <w:lang w:val="en-US" w:eastAsia="zh-CN"/>
              </w:rPr>
              <w:t xml:space="preserve"> 大豆油 </w:t>
            </w:r>
            <w:r>
              <w:rPr>
                <w:rFonts w:hint="eastAsia"/>
              </w:rPr>
              <w:t>的供方</w:t>
            </w:r>
            <w:r>
              <w:rPr>
                <w:rFonts w:hint="eastAsia"/>
                <w:lang w:val="en-US" w:eastAsia="zh-CN"/>
              </w:rPr>
              <w:t xml:space="preserve"> </w:t>
            </w:r>
            <w:r>
              <w:rPr>
                <w:rFonts w:hint="eastAsia"/>
                <w:u w:val="single"/>
                <w:lang w:val="en-US" w:eastAsia="zh-CN"/>
              </w:rPr>
              <w:t xml:space="preserve"> 江苏江阴-靖江工业园区云海贸易有限公司</w:t>
            </w:r>
            <w:r>
              <w:rPr>
                <w:rFonts w:hint="eastAsia"/>
                <w:lang w:eastAsia="zh-CN"/>
              </w:rPr>
              <w:t>；</w:t>
            </w:r>
            <w:r>
              <w:rPr>
                <w:rFonts w:hint="eastAsia"/>
                <w:u w:val="single"/>
                <w:lang w:val="en-US" w:eastAsia="zh-CN"/>
              </w:rPr>
              <w:t xml:space="preserve"> 卤汁鹌鹑蛋  </w:t>
            </w:r>
            <w:r>
              <w:rPr>
                <w:rFonts w:hint="eastAsia"/>
              </w:rPr>
              <w:t>的供方</w:t>
            </w:r>
            <w:r>
              <w:rPr>
                <w:rFonts w:hint="eastAsia"/>
                <w:lang w:val="en-US" w:eastAsia="zh-CN"/>
              </w:rPr>
              <w:t xml:space="preserve"> </w:t>
            </w:r>
            <w:r>
              <w:rPr>
                <w:rFonts w:hint="eastAsia"/>
                <w:u w:val="single"/>
                <w:lang w:val="en-US" w:eastAsia="zh-CN"/>
              </w:rPr>
              <w:t xml:space="preserve"> 江江苏禹伶食品有限公司 </w:t>
            </w:r>
            <w:r>
              <w:rPr>
                <w:rFonts w:hint="eastAsia"/>
                <w:lang w:eastAsia="zh-CN"/>
              </w:rPr>
              <w:t>；</w:t>
            </w:r>
            <w:r>
              <w:rPr>
                <w:rFonts w:hint="eastAsia"/>
                <w:u w:val="single"/>
                <w:lang w:val="en-US" w:eastAsia="zh-CN"/>
              </w:rPr>
              <w:t xml:space="preserve"> 大米 </w:t>
            </w:r>
            <w:r>
              <w:rPr>
                <w:rFonts w:hint="eastAsia"/>
              </w:rPr>
              <w:t>的供方</w:t>
            </w:r>
            <w:r>
              <w:rPr>
                <w:rFonts w:hint="eastAsia"/>
                <w:u w:val="single"/>
                <w:lang w:val="en-US" w:eastAsia="zh-CN"/>
              </w:rPr>
              <w:t xml:space="preserve"> 江苏恒悦定制大米有限公司</w:t>
            </w:r>
            <w:r>
              <w:rPr>
                <w:rFonts w:hint="eastAsia"/>
                <w:u w:val="none"/>
                <w:lang w:val="en-US" w:eastAsia="zh-CN"/>
              </w:rPr>
              <w:t xml:space="preserve">；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u w:val="single"/>
                <w:lang w:val="en-US" w:eastAsia="zh-CN"/>
              </w:rPr>
              <w:t xml:space="preserve"> 304不锈钢汤桶、保温箱、餐盒、汤杯 </w:t>
            </w:r>
            <w:r>
              <w:rPr>
                <w:rFonts w:hint="eastAsia"/>
              </w:rPr>
              <w:t>的供方</w:t>
            </w:r>
            <w:r>
              <w:rPr>
                <w:rFonts w:hint="eastAsia"/>
                <w:u w:val="single"/>
                <w:lang w:val="en-US" w:eastAsia="zh-CN"/>
              </w:rPr>
              <w:t xml:space="preserve"> 北京优冷供应链管理有限公司</w:t>
            </w:r>
            <w:r>
              <w:rPr>
                <w:rFonts w:hint="eastAsia"/>
                <w:u w:val="none"/>
                <w:lang w:val="en-US" w:eastAsia="zh-CN"/>
              </w:rPr>
              <w:t>；</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大米，20220103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蔬菜</w:t>
            </w:r>
            <w:r>
              <w:rPr>
                <w:rFonts w:hint="eastAsia" w:ascii="Times New Roman" w:hAnsi="Times New Roman" w:eastAsia="宋体" w:cs="Times New Roman"/>
                <w:color w:val="0000FF"/>
                <w:szCs w:val="21"/>
              </w:rPr>
              <w:t>，202</w:t>
            </w:r>
            <w:r>
              <w:rPr>
                <w:rFonts w:hint="eastAsia" w:cs="Times New Roman"/>
                <w:color w:val="0000FF"/>
                <w:szCs w:val="21"/>
                <w:lang w:val="en-US" w:eastAsia="zh-CN"/>
              </w:rPr>
              <w:t>20105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val="en-US" w:eastAsia="zh-CN"/>
              </w:rPr>
              <w:t>农残</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海天上等蚝油</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20211019</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番茄调味酱</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20211107</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白醋</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20210203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pStyle w:val="6"/>
              <w:rPr>
                <w:rFonts w:hint="eastAsia"/>
              </w:rPr>
            </w:pP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汤杯、PP餐盒、304不锈钢桶</w:t>
            </w:r>
            <w:r>
              <w:rPr>
                <w:rFonts w:hint="eastAsia" w:cs="Times New Roman"/>
                <w:color w:val="0000FF"/>
                <w:szCs w:val="21"/>
                <w:lang w:eastAsia="zh-CN"/>
              </w:rPr>
              <w:t>，</w:t>
            </w:r>
            <w:r>
              <w:rPr>
                <w:rFonts w:hint="eastAsia" w:cs="Times New Roman"/>
                <w:color w:val="0000FF"/>
                <w:szCs w:val="21"/>
                <w:lang w:val="en-US" w:eastAsia="zh-CN"/>
              </w:rPr>
              <w:t>202108</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中心</w:t>
            </w:r>
            <w:r>
              <w:rPr>
                <w:rFonts w:hint="eastAsia" w:cs="Times New Roman"/>
                <w:szCs w:val="21"/>
                <w:u w:val="single"/>
                <w:lang w:val="en-US" w:eastAsia="zh-CN"/>
              </w:rPr>
              <w:t>温度计、恒温培养箱、天子天平、</w:t>
            </w:r>
            <w:r>
              <w:rPr>
                <w:rFonts w:hint="eastAsia" w:ascii="Times New Roman" w:hAnsi="Times New Roman" w:eastAsia="宋体" w:cs="Times New Roman"/>
                <w:szCs w:val="21"/>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菜品出锅温度检测记录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餐具消毒记录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产品出厂检验报告等</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卤香鸡腿套餐</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1-01-04</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u w:val="single"/>
              </w:rPr>
            </w:pPr>
            <w:r>
              <w:rPr>
                <w:rFonts w:hint="eastAsia" w:cs="Times New Roman"/>
                <w:szCs w:val="21"/>
                <w:highlight w:val="none"/>
                <w:u w:val="single"/>
                <w:lang w:val="en-US" w:eastAsia="zh-CN"/>
              </w:rPr>
              <w:t xml:space="preserve">产品名称：主食菜肴（酱烧排骨套餐） </w:t>
            </w:r>
            <w:r>
              <w:rPr>
                <w:rFonts w:hint="eastAsia" w:ascii="Times New Roman" w:hAnsi="Times New Roman" w:eastAsia="宋体" w:cs="Times New Roman"/>
                <w:szCs w:val="21"/>
                <w:highlight w:val="none"/>
                <w:u w:val="single"/>
              </w:rPr>
              <w:t>报告号1：</w:t>
            </w:r>
            <w:r>
              <w:rPr>
                <w:rFonts w:hint="eastAsia" w:ascii="Times New Roman" w:hAnsi="Times New Roman" w:eastAsia="宋体" w:cs="Times New Roman"/>
                <w:szCs w:val="21"/>
                <w:highlight w:val="none"/>
                <w:u w:val="single"/>
                <w:lang w:val="en-US" w:eastAsia="zh-CN"/>
              </w:rPr>
              <w:t>2021201E0111747</w:t>
            </w:r>
            <w:r>
              <w:rPr>
                <w:rFonts w:hint="eastAsia" w:ascii="Times New Roman" w:hAnsi="Times New Roman" w:eastAsia="宋体" w:cs="Times New Roman"/>
                <w:szCs w:val="21"/>
                <w:highlight w:val="none"/>
                <w:u w:val="single"/>
              </w:rPr>
              <w:t xml:space="preserve">   报告日期： </w:t>
            </w:r>
            <w:r>
              <w:rPr>
                <w:rFonts w:hint="eastAsia" w:ascii="Times New Roman" w:hAnsi="Times New Roman" w:eastAsia="宋体" w:cs="Times New Roman"/>
                <w:szCs w:val="21"/>
                <w:highlight w:val="none"/>
                <w:u w:val="single"/>
                <w:lang w:val="en-US" w:eastAsia="zh-CN"/>
              </w:rPr>
              <w:t>202</w:t>
            </w:r>
            <w:r>
              <w:rPr>
                <w:rFonts w:hint="eastAsia" w:cs="Times New Roman"/>
                <w:szCs w:val="21"/>
                <w:highlight w:val="none"/>
                <w:u w:val="single"/>
                <w:lang w:val="en-US" w:eastAsia="zh-CN"/>
              </w:rPr>
              <w:t>2-01-07</w:t>
            </w:r>
            <w:r>
              <w:rPr>
                <w:rFonts w:hint="eastAsia" w:ascii="Times New Roman" w:hAnsi="Times New Roman" w:eastAsia="宋体" w:cs="Times New Roman"/>
                <w:szCs w:val="21"/>
                <w:highlight w:val="none"/>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cs="Times New Roman"/>
                <w:szCs w:val="21"/>
                <w:highlight w:val="none"/>
                <w:u w:val="single"/>
                <w:lang w:val="en-US" w:eastAsia="zh-CN"/>
              </w:rPr>
              <w:t>产品名称：餐盒</w:t>
            </w:r>
            <w:r>
              <w:rPr>
                <w:rFonts w:hint="eastAsia" w:ascii="Times New Roman" w:hAnsi="Times New Roman" w:eastAsia="宋体" w:cs="Times New Roman"/>
                <w:szCs w:val="21"/>
                <w:highlight w:val="none"/>
                <w:u w:val="single"/>
              </w:rPr>
              <w:t>报告号2：</w:t>
            </w:r>
            <w:r>
              <w:rPr>
                <w:rFonts w:hint="eastAsia" w:ascii="Times New Roman" w:hAnsi="Times New Roman" w:eastAsia="宋体" w:cs="Times New Roman"/>
                <w:szCs w:val="21"/>
                <w:highlight w:val="none"/>
                <w:u w:val="single"/>
                <w:lang w:val="en-US" w:eastAsia="zh-CN"/>
              </w:rPr>
              <w:t>2021201E0111746</w:t>
            </w:r>
            <w:r>
              <w:rPr>
                <w:rFonts w:hint="eastAsia" w:ascii="Times New Roman" w:hAnsi="Times New Roman" w:eastAsia="宋体" w:cs="Times New Roman"/>
                <w:szCs w:val="21"/>
                <w:highlight w:val="none"/>
                <w:u w:val="single"/>
              </w:rPr>
              <w:t xml:space="preserve">报告日期：  </w:t>
            </w:r>
            <w:r>
              <w:rPr>
                <w:rFonts w:hint="eastAsia" w:ascii="Times New Roman" w:hAnsi="Times New Roman" w:eastAsia="宋体" w:cs="Times New Roman"/>
                <w:szCs w:val="21"/>
                <w:highlight w:val="none"/>
                <w:u w:val="single"/>
                <w:lang w:val="en-US" w:eastAsia="zh-CN"/>
              </w:rPr>
              <w:t>202</w:t>
            </w:r>
            <w:r>
              <w:rPr>
                <w:rFonts w:hint="eastAsia" w:cs="Times New Roman"/>
                <w:szCs w:val="21"/>
                <w:highlight w:val="none"/>
                <w:u w:val="single"/>
                <w:lang w:val="en-US" w:eastAsia="zh-CN"/>
              </w:rPr>
              <w:t>2-01-07</w:t>
            </w:r>
            <w:r>
              <w:rPr>
                <w:rFonts w:hint="eastAsia" w:ascii="Times New Roman" w:hAnsi="Times New Roman" w:eastAsia="宋体" w:cs="Times New Roman"/>
                <w:color w:val="0000FF"/>
                <w:szCs w:val="21"/>
                <w:highlight w:val="none"/>
                <w:u w:val="single"/>
              </w:rPr>
              <w:t>.</w:t>
            </w: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szCs w:val="21"/>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清炒四季豆</w:t>
            </w:r>
            <w:r>
              <w:rPr>
                <w:rFonts w:hint="eastAsia" w:cs="Times New Roman"/>
                <w:szCs w:val="21"/>
                <w:u w:val="single"/>
                <w:lang w:val="en-US" w:eastAsia="zh-CN"/>
              </w:rPr>
              <w:t>（模拟）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1-08-25</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7</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31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7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31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7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31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办公室主任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殷宇勤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质量部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刘娟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lang w:val="en-US" w:eastAsia="zh-CN"/>
                    </w:rPr>
                    <w:t>厂长</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吴国英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采购</w:t>
                  </w:r>
                  <w:r>
                    <w:rPr>
                      <w:rFonts w:hint="eastAsia" w:ascii="Times New Roman" w:hAnsi="Times New Roman" w:eastAsia="宋体" w:cs="Times New Roman"/>
                      <w:color w:val="0000FF"/>
                      <w:szCs w:val="21"/>
                    </w:rPr>
                    <w:t>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齐潮福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王晓飞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大米</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食用油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酱油、醋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食用盐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保温箱、不锈钢汤桶、汤杯等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为学校师生提供餐食服务</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热菜类（荤菜、素菜）、主食类（米饭为主）</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eastAsia="宋体"/>
                      <w:sz w:val="21"/>
                      <w:szCs w:val="21"/>
                      <w:lang w:val="en-US" w:eastAsia="zh-CN"/>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p>
                  <w:pPr>
                    <w:pStyle w:val="3"/>
                    <w:rPr>
                      <w:sz w:val="21"/>
                      <w:szCs w:val="21"/>
                    </w:rPr>
                  </w:pP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FE"/>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eastAsia="宋体" w:cs="Times New Roman"/>
                      <w:bCs/>
                      <w:kern w:val="2"/>
                      <w:sz w:val="21"/>
                      <w:szCs w:val="21"/>
                      <w:lang w:val="en-US" w:eastAsia="zh-CN" w:bidi="ar-SA"/>
                    </w:rPr>
                    <w:t>豆制品类</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sz w:val="21"/>
                      <w:szCs w:val="21"/>
                      <w:lang w:val="en-GB"/>
                    </w:rPr>
                  </w:pPr>
                  <w:r>
                    <w:rPr>
                      <w:rFonts w:hint="eastAsia"/>
                      <w:bCs/>
                      <w:sz w:val="21"/>
                      <w:szCs w:val="21"/>
                    </w:rPr>
                    <w:t>水</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向供方索取检测报告</w:t>
                  </w:r>
                </w:p>
                <w:p>
                  <w:pPr>
                    <w:autoSpaceDE w:val="0"/>
                    <w:autoSpaceDN w:val="0"/>
                    <w:adjustRightInd w:val="0"/>
                    <w:jc w:val="left"/>
                    <w:rPr>
                      <w:rFonts w:hint="default" w:eastAsia="宋体"/>
                      <w:bCs/>
                      <w:sz w:val="21"/>
                      <w:szCs w:val="21"/>
                      <w:lang w:val="en-US"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委托第三方进行)</w:t>
                  </w:r>
                </w:p>
                <w:p>
                  <w:pPr>
                    <w:autoSpaceDE w:val="0"/>
                    <w:autoSpaceDN w:val="0"/>
                    <w:adjustRightInd w:val="0"/>
                    <w:jc w:val="left"/>
                    <w:rPr>
                      <w:bCs/>
                      <w:sz w:val="21"/>
                      <w:szCs w:val="21"/>
                    </w:rPr>
                  </w:pPr>
                  <w:r>
                    <w:rPr>
                      <w:rFonts w:hint="eastAsia"/>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ascii="宋体" w:hAnsi="宋体"/>
                      <w:sz w:val="21"/>
                      <w:szCs w:val="21"/>
                    </w:rPr>
                  </w:pPr>
                  <w:r>
                    <w:rPr>
                      <w:rFonts w:hint="eastAsia"/>
                      <w:color w:val="000000"/>
                      <w:sz w:val="21"/>
                      <w:szCs w:val="21"/>
                    </w:rPr>
                    <w:t>包材器皿</w:t>
                  </w:r>
                  <w:r>
                    <w:rPr>
                      <w:color w:val="000000"/>
                      <w:sz w:val="21"/>
                      <w:szCs w:val="21"/>
                    </w:rPr>
                    <w:t>：</w:t>
                  </w:r>
                  <w:r>
                    <w:rPr>
                      <w:rFonts w:hint="eastAsia"/>
                      <w:color w:val="000000"/>
                      <w:sz w:val="21"/>
                      <w:szCs w:val="21"/>
                    </w:rPr>
                    <w:t>餐器具（</w:t>
                  </w:r>
                  <w:r>
                    <w:rPr>
                      <w:rFonts w:hint="eastAsia"/>
                      <w:color w:val="000000"/>
                      <w:sz w:val="21"/>
                      <w:szCs w:val="21"/>
                      <w:lang w:val="en-US" w:eastAsia="zh-CN"/>
                    </w:rPr>
                    <w:t>PP餐盘、不锈钢碗</w:t>
                  </w:r>
                  <w:r>
                    <w:rPr>
                      <w:rFonts w:hint="eastAsia"/>
                      <w:color w:val="000000"/>
                      <w:sz w:val="21"/>
                      <w:szCs w:val="21"/>
                    </w:rPr>
                    <w:t>等）等</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bCs/>
                      <w:sz w:val="21"/>
                      <w:szCs w:val="21"/>
                    </w:rPr>
                  </w:pPr>
                  <w:r>
                    <w:rPr>
                      <w:rFonts w:hint="eastAsia"/>
                      <w:sz w:val="21"/>
                      <w:szCs w:val="21"/>
                    </w:rPr>
                    <w:sym w:font="Wingdings" w:char="00FE"/>
                  </w:r>
                  <w:r>
                    <w:rPr>
                      <w:rFonts w:hint="eastAsia"/>
                      <w:sz w:val="21"/>
                      <w:szCs w:val="21"/>
                    </w:rPr>
                    <w:t>溶剂残留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sz w:val="21"/>
                      <w:szCs w:val="21"/>
                    </w:rPr>
                    <w:sym w:font="Wingdings" w:char="00A8"/>
                  </w:r>
                  <w:r>
                    <w:rPr>
                      <w:rFonts w:hint="eastAsia"/>
                      <w:bCs/>
                      <w:sz w:val="21"/>
                      <w:szCs w:val="21"/>
                    </w:rPr>
                    <w:t>第三方检测报告</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7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8</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25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不涉及食品安全问题，主要是涉及餐食数量</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1</w:t>
            </w:r>
            <w:r>
              <w:rPr>
                <w:rFonts w:hint="eastAsia"/>
                <w:color w:val="1D41D5"/>
                <w:u w:val="single"/>
              </w:rPr>
              <w:t>年</w:t>
            </w:r>
            <w:r>
              <w:rPr>
                <w:rFonts w:hint="eastAsia"/>
                <w:color w:val="1D41D5"/>
                <w:u w:val="single"/>
                <w:lang w:val="en-US" w:eastAsia="zh-CN"/>
              </w:rPr>
              <w:t xml:space="preserve"> 10</w:t>
            </w:r>
            <w:r>
              <w:rPr>
                <w:rFonts w:hint="eastAsia"/>
                <w:color w:val="1D41D5"/>
                <w:u w:val="single"/>
              </w:rPr>
              <w:t>月</w:t>
            </w:r>
            <w:r>
              <w:rPr>
                <w:rFonts w:hint="eastAsia"/>
                <w:color w:val="1D41D5"/>
                <w:u w:val="single"/>
                <w:lang w:val="en-US" w:eastAsia="zh-CN"/>
              </w:rPr>
              <w:t xml:space="preserve">24-25 </w:t>
            </w:r>
            <w:r>
              <w:rPr>
                <w:rFonts w:hint="eastAsia"/>
                <w:color w:val="1D41D5"/>
                <w:u w:val="single"/>
              </w:rPr>
              <w:t>日，</w:t>
            </w:r>
            <w:r>
              <w:rPr>
                <w:rFonts w:hint="eastAsia"/>
                <w:color w:val="1D41D5"/>
                <w:u w:val="single"/>
                <w:lang w:val="en-US" w:eastAsia="zh-CN"/>
              </w:rPr>
              <w:t xml:space="preserve">2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1</w:t>
            </w:r>
            <w:r>
              <w:rPr>
                <w:rFonts w:hint="eastAsia" w:ascii="宋体" w:hAnsi="宋体"/>
                <w:color w:val="0000FF"/>
                <w:u w:val="single"/>
              </w:rPr>
              <w:t>年</w:t>
            </w:r>
            <w:r>
              <w:rPr>
                <w:rFonts w:hint="eastAsia"/>
                <w:color w:val="0000FF"/>
                <w:u w:val="single"/>
                <w:lang w:val="en-US" w:eastAsia="zh-CN"/>
              </w:rPr>
              <w:t>11</w:t>
            </w:r>
            <w:r>
              <w:rPr>
                <w:rFonts w:hint="eastAsia" w:ascii="宋体" w:hAnsi="宋体"/>
                <w:color w:val="0000FF"/>
                <w:u w:val="single"/>
              </w:rPr>
              <w:t>月</w:t>
            </w:r>
            <w:r>
              <w:rPr>
                <w:rFonts w:hint="eastAsia"/>
                <w:color w:val="0000FF"/>
                <w:u w:val="single"/>
                <w:lang w:val="en-US" w:eastAsia="zh-CN"/>
              </w:rPr>
              <w:t xml:space="preserve">10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spacing w:before="40"/>
              <w:jc w:val="left"/>
              <w:rPr>
                <w:rFonts w:hint="default" w:eastAsia="宋体"/>
                <w:color w:val="000000"/>
                <w:szCs w:val="21"/>
                <w:lang w:val="en-US" w:eastAsia="zh-CN"/>
              </w:rPr>
            </w:pPr>
            <w:r>
              <w:rPr>
                <w:rFonts w:hint="eastAsia" w:eastAsia="宋体"/>
                <w:color w:val="000000"/>
                <w:szCs w:val="21"/>
                <w:lang w:eastAsia="zh-CN"/>
              </w:rPr>
              <w:t>1）加强对各部门食品安全管理体系要求的培训,提高管理水平；责任人：殷宇勤；整改期限：2021.12前；——</w:t>
            </w:r>
            <w:r>
              <w:rPr>
                <w:rFonts w:hint="eastAsia" w:eastAsia="宋体"/>
                <w:color w:val="000000"/>
                <w:szCs w:val="21"/>
                <w:lang w:val="en-US" w:eastAsia="zh-CN"/>
              </w:rPr>
              <w:t>现场验证已完成</w:t>
            </w:r>
          </w:p>
          <w:p>
            <w:pPr>
              <w:widowControl/>
              <w:spacing w:before="40"/>
              <w:jc w:val="left"/>
              <w:rPr>
                <w:rFonts w:hint="default" w:eastAsia="宋体"/>
                <w:color w:val="000000"/>
                <w:szCs w:val="21"/>
                <w:lang w:val="en-US" w:eastAsia="zh-CN"/>
              </w:rPr>
            </w:pPr>
            <w:r>
              <w:rPr>
                <w:rFonts w:hint="eastAsia" w:eastAsia="宋体"/>
                <w:color w:val="000000"/>
                <w:szCs w:val="21"/>
                <w:lang w:eastAsia="zh-CN"/>
              </w:rPr>
              <w:t>2）对各部门运行食品安全管理体系进行严格要求，加强检查和控制，对发现的问题及时采取措施；责任人：殷宇勤；整改期限：2021.12前——</w:t>
            </w:r>
            <w:r>
              <w:rPr>
                <w:rFonts w:hint="eastAsia" w:eastAsia="宋体"/>
                <w:color w:val="000000"/>
                <w:szCs w:val="21"/>
                <w:lang w:val="en-US" w:eastAsia="zh-CN"/>
              </w:rPr>
              <w:t>现场验证已完成</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清洁区——餐食分包</w:t>
            </w:r>
            <w:r>
              <w:rPr>
                <w:rFonts w:hint="eastAsia" w:ascii="宋体" w:hAnsi="宋体" w:cs="Times New Roman"/>
                <w:color w:val="0000FF"/>
                <w:szCs w:val="21"/>
                <w:lang w:val="en-US" w:eastAsia="zh-CN"/>
              </w:rPr>
              <w:t>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准清洁区——热菜制售</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蔬菜清洗间、粗加工切配间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检测报告：编号：（2021）SP-WJ0419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2021-11-24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PP餐盒(供方提供产品检测报告）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2021-W-334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rPr>
              <w:t>202</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u w:val="single"/>
                <w:lang w:val="en-US" w:eastAsia="zh-CN"/>
              </w:rPr>
              <w:t>06-04</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保温箱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lang w:val="en-US" w:eastAsia="zh-CN"/>
                    </w:rPr>
                    <w:t>50-80</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rPr>
                    <w:t>1</w:t>
                  </w:r>
                  <w:r>
                    <w:rPr>
                      <w:rFonts w:ascii="宋体" w:hAnsi="宋体"/>
                      <w:szCs w:val="21"/>
                    </w:rPr>
                    <w:t>00</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tcPr>
                <w:p>
                  <w:pPr>
                    <w:rPr>
                      <w:rFonts w:ascii="宋体" w:hAnsi="宋体"/>
                      <w:szCs w:val="21"/>
                      <w:highlight w:val="none"/>
                    </w:rPr>
                  </w:pPr>
                  <w:r>
                    <w:rPr>
                      <w:rFonts w:hint="eastAsia" w:ascii="宋体" w:hAnsi="宋体"/>
                      <w:szCs w:val="21"/>
                      <w:highlight w:val="none"/>
                    </w:rPr>
                    <w:t>——</w:t>
                  </w:r>
                </w:p>
              </w:tc>
              <w:tc>
                <w:tcPr>
                  <w:tcW w:w="850" w:type="dxa"/>
                </w:tcPr>
                <w:p>
                  <w:pPr>
                    <w:rPr>
                      <w:rFonts w:ascii="宋体" w:hAnsi="宋体"/>
                      <w:szCs w:val="21"/>
                      <w:highlight w:val="none"/>
                    </w:rPr>
                  </w:pPr>
                  <w:r>
                    <w:rPr>
                      <w:rFonts w:hint="eastAsia" w:ascii="宋体" w:hAnsi="宋体"/>
                      <w:szCs w:val="21"/>
                      <w:highlight w:val="none"/>
                    </w:rPr>
                    <w:t>——</w:t>
                  </w:r>
                </w:p>
              </w:tc>
              <w:tc>
                <w:tcPr>
                  <w:tcW w:w="1134"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次氯酸钠</w:t>
                  </w:r>
                </w:p>
              </w:tc>
              <w:tc>
                <w:tcPr>
                  <w:tcW w:w="1276"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250-300</w:t>
                  </w:r>
                  <w:r>
                    <w:rPr>
                      <w:rFonts w:hint="eastAsia" w:ascii="宋体" w:hAnsi="宋体"/>
                      <w:szCs w:val="21"/>
                      <w:highlight w:val="none"/>
                    </w:rPr>
                    <w:t>ppm</w:t>
                  </w:r>
                </w:p>
              </w:tc>
              <w:tc>
                <w:tcPr>
                  <w:tcW w:w="1961" w:type="dxa"/>
                </w:tcPr>
                <w:p>
                  <w:pPr>
                    <w:rPr>
                      <w:rFonts w:ascii="宋体" w:hAnsi="宋体"/>
                      <w:szCs w:val="21"/>
                      <w:highlight w:val="none"/>
                    </w:rPr>
                  </w:pPr>
                  <w:r>
                    <w:rPr>
                      <w:rFonts w:hint="eastAsia" w:ascii="宋体" w:hAnsi="宋体"/>
                      <w:szCs w:val="21"/>
                      <w:highlight w:val="none"/>
                    </w:rPr>
                    <w:t>每班次上岗前</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设备-传送带</w:t>
                  </w:r>
                </w:p>
              </w:tc>
              <w:tc>
                <w:tcPr>
                  <w:tcW w:w="851" w:type="dxa"/>
                </w:tcPr>
                <w:p>
                  <w:pPr>
                    <w:rPr>
                      <w:rFonts w:hint="eastAsia" w:ascii="宋体" w:hAnsi="宋体"/>
                      <w:szCs w:val="21"/>
                      <w:highlight w:val="none"/>
                    </w:rPr>
                  </w:pPr>
                  <w:r>
                    <w:rPr>
                      <w:rFonts w:hint="eastAsia" w:ascii="宋体" w:hAnsi="宋体"/>
                      <w:szCs w:val="21"/>
                      <w:highlight w:val="none"/>
                    </w:rPr>
                    <w:t>——</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szCs w:val="21"/>
                      <w:highlight w:val="none"/>
                      <w:lang w:eastAsia="zh-CN"/>
                    </w:rPr>
                  </w:pPr>
                  <w:r>
                    <w:rPr>
                      <w:rFonts w:hint="eastAsia" w:ascii="宋体" w:hAnsi="宋体"/>
                      <w:szCs w:val="21"/>
                      <w:highlight w:val="none"/>
                      <w:lang w:val="en-US" w:eastAsia="zh-CN"/>
                    </w:rPr>
                    <w:t>酒精</w:t>
                  </w:r>
                </w:p>
              </w:tc>
              <w:tc>
                <w:tcPr>
                  <w:tcW w:w="1276" w:type="dxa"/>
                  <w:vAlign w:val="top"/>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75%</w:t>
                  </w:r>
                </w:p>
              </w:tc>
              <w:tc>
                <w:tcPr>
                  <w:tcW w:w="1961" w:type="dxa"/>
                </w:tcPr>
                <w:p>
                  <w:pPr>
                    <w:rPr>
                      <w:rFonts w:hint="eastAsia" w:ascii="宋体" w:hAnsi="宋体"/>
                      <w:szCs w:val="21"/>
                      <w:highlight w:val="none"/>
                    </w:rPr>
                  </w:pPr>
                  <w:r>
                    <w:rPr>
                      <w:rFonts w:hint="eastAsia" w:ascii="宋体" w:hAnsi="宋体"/>
                      <w:szCs w:val="21"/>
                      <w:highlight w:val="none"/>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每5天</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rPr>
                      <w:rFonts w:ascii="宋体" w:hAnsi="宋体"/>
                      <w:szCs w:val="21"/>
                    </w:rPr>
                  </w:pPr>
                  <w:r>
                    <w:rPr>
                      <w:rFonts w:hint="eastAsia" w:ascii="宋体" w:hAnsi="宋体"/>
                      <w:szCs w:val="21"/>
                    </w:rPr>
                    <w:t>蝇</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每5天</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tcPr>
                <w:p>
                  <w:pP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FE"/>
                  </w:r>
                  <w:r>
                    <w:rPr>
                      <w:rFonts w:hint="eastAsia" w:ascii="宋体" w:hAnsi="宋体"/>
                      <w:szCs w:val="21"/>
                    </w:rPr>
                    <w:t>室外诱饵投放点、</w:t>
                  </w:r>
                </w:p>
              </w:tc>
              <w:tc>
                <w:tcPr>
                  <w:tcW w:w="2023" w:type="dxa"/>
                </w:tcPr>
                <w:p>
                  <w:pPr>
                    <w:pStyle w:val="2"/>
                  </w:pPr>
                  <w:r>
                    <w:rPr>
                      <w:rFonts w:hint="eastAsia"/>
                      <w:bCs w:val="0"/>
                      <w:spacing w:val="0"/>
                    </w:rPr>
                    <w:t>基本符合</w:t>
                  </w:r>
                </w:p>
              </w:tc>
              <w:tc>
                <w:tcPr>
                  <w:tcW w:w="1130" w:type="dxa"/>
                </w:tcPr>
                <w:p>
                  <w:pPr>
                    <w:rPr>
                      <w:rFonts w:ascii="宋体" w:hAnsi="宋体"/>
                      <w:szCs w:val="21"/>
                    </w:rPr>
                  </w:pPr>
                  <w:r>
                    <w:rPr>
                      <w:rFonts w:hint="eastAsia" w:ascii="宋体" w:hAnsi="宋体"/>
                      <w:szCs w:val="21"/>
                    </w:rPr>
                    <w:t>每5天</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tabs>
                      <w:tab w:val="center" w:pos="1122"/>
                    </w:tabs>
                    <w:rPr>
                      <w:rFonts w:hint="default" w:eastAsia="宋体"/>
                      <w:sz w:val="20"/>
                      <w:szCs w:val="18"/>
                      <w:highlight w:val="none"/>
                      <w:lang w:val="en-US" w:eastAsia="zh-CN"/>
                    </w:rPr>
                  </w:pPr>
                  <w:r>
                    <w:rPr>
                      <w:rFonts w:hint="eastAsia"/>
                      <w:sz w:val="20"/>
                      <w:szCs w:val="18"/>
                      <w:highlight w:val="none"/>
                      <w:lang w:val="en-US" w:eastAsia="zh-CN"/>
                    </w:rPr>
                    <w:t>生产部副经理</w:t>
                  </w:r>
                </w:p>
              </w:tc>
              <w:tc>
                <w:tcPr>
                  <w:tcW w:w="1057" w:type="dxa"/>
                </w:tcPr>
                <w:p>
                  <w:pPr>
                    <w:rPr>
                      <w:rFonts w:hint="default" w:eastAsia="宋体"/>
                      <w:highlight w:val="none"/>
                      <w:lang w:val="en-US" w:eastAsia="zh-CN"/>
                    </w:rPr>
                  </w:pPr>
                  <w:r>
                    <w:rPr>
                      <w:rFonts w:hint="eastAsia"/>
                      <w:sz w:val="20"/>
                      <w:szCs w:val="18"/>
                      <w:highlight w:val="none"/>
                      <w:lang w:val="en-US" w:eastAsia="zh-CN"/>
                    </w:rPr>
                    <w:t>康雄雄</w:t>
                  </w:r>
                </w:p>
              </w:tc>
              <w:tc>
                <w:tcPr>
                  <w:tcW w:w="3001" w:type="dxa"/>
                </w:tcPr>
                <w:p>
                  <w:pPr>
                    <w:rPr>
                      <w:rFonts w:hint="default" w:eastAsia="宋体"/>
                      <w:highlight w:val="none"/>
                      <w:lang w:val="en-US" w:eastAsia="zh-CN"/>
                    </w:rPr>
                  </w:pPr>
                  <w:r>
                    <w:rPr>
                      <w:rFonts w:hint="eastAsia"/>
                      <w:highlight w:val="none"/>
                      <w:lang w:val="en-US" w:eastAsia="zh-CN"/>
                    </w:rPr>
                    <w:t>苏32128318421004459</w:t>
                  </w:r>
                </w:p>
              </w:tc>
              <w:tc>
                <w:tcPr>
                  <w:tcW w:w="1850" w:type="dxa"/>
                </w:tcPr>
                <w:p>
                  <w:pPr>
                    <w:rPr>
                      <w:rFonts w:hint="default" w:eastAsia="宋体"/>
                      <w:highlight w:val="none"/>
                      <w:lang w:val="en-US" w:eastAsia="zh-CN"/>
                    </w:rPr>
                  </w:pPr>
                  <w:r>
                    <w:rPr>
                      <w:rFonts w:hint="eastAsia"/>
                      <w:highlight w:val="none"/>
                      <w:lang w:val="en-US" w:eastAsia="zh-CN"/>
                    </w:rPr>
                    <w:t>2022.03.10</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rFonts w:hint="default" w:eastAsia="宋体"/>
                      <w:highlight w:val="none"/>
                      <w:lang w:val="en-US" w:eastAsia="zh-CN"/>
                    </w:rPr>
                  </w:pPr>
                  <w:r>
                    <w:rPr>
                      <w:rFonts w:hint="eastAsia"/>
                      <w:highlight w:val="none"/>
                      <w:lang w:val="en-US" w:eastAsia="zh-CN"/>
                    </w:rPr>
                    <w:t>生产部组长</w:t>
                  </w:r>
                </w:p>
              </w:tc>
              <w:tc>
                <w:tcPr>
                  <w:tcW w:w="1057" w:type="dxa"/>
                </w:tcPr>
                <w:p>
                  <w:pPr>
                    <w:rPr>
                      <w:rFonts w:hint="default" w:eastAsia="宋体"/>
                      <w:highlight w:val="none"/>
                      <w:lang w:val="en-US" w:eastAsia="zh-CN"/>
                    </w:rPr>
                  </w:pPr>
                  <w:r>
                    <w:rPr>
                      <w:rFonts w:hint="eastAsia"/>
                      <w:highlight w:val="none"/>
                      <w:lang w:val="en-US" w:eastAsia="zh-CN"/>
                    </w:rPr>
                    <w:t>陈爱兰</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苏32128318421011620</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2022.05.09</w:t>
                  </w:r>
                </w:p>
              </w:tc>
              <w:tc>
                <w:tcPr>
                  <w:tcW w:w="1016"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06" w:type="dxa"/>
                </w:tcPr>
                <w:p>
                  <w:pPr>
                    <w:rPr>
                      <w:rFonts w:hint="default" w:eastAsia="宋体"/>
                      <w:highlight w:val="none"/>
                      <w:lang w:val="en-US" w:eastAsia="zh-CN"/>
                    </w:rPr>
                  </w:pPr>
                  <w:r>
                    <w:rPr>
                      <w:rFonts w:hint="eastAsia"/>
                      <w:highlight w:val="none"/>
                      <w:lang w:val="en-US" w:eastAsia="zh-CN"/>
                    </w:rPr>
                    <w:t>生产部大灶</w:t>
                  </w:r>
                </w:p>
              </w:tc>
              <w:tc>
                <w:tcPr>
                  <w:tcW w:w="1057" w:type="dxa"/>
                </w:tcPr>
                <w:p>
                  <w:pPr>
                    <w:rPr>
                      <w:rFonts w:hint="default" w:eastAsia="宋体"/>
                      <w:highlight w:val="none"/>
                      <w:lang w:val="en-US" w:eastAsia="zh-CN"/>
                    </w:rPr>
                  </w:pPr>
                  <w:r>
                    <w:rPr>
                      <w:rFonts w:hint="eastAsia"/>
                      <w:highlight w:val="none"/>
                      <w:lang w:val="en-US" w:eastAsia="zh-CN"/>
                    </w:rPr>
                    <w:t>蒋勇</w:t>
                  </w:r>
                </w:p>
              </w:tc>
              <w:tc>
                <w:tcPr>
                  <w:tcW w:w="3001" w:type="dxa"/>
                </w:tcPr>
                <w:p>
                  <w:pPr>
                    <w:rPr>
                      <w:rFonts w:hint="default" w:eastAsia="宋体"/>
                      <w:highlight w:val="none"/>
                      <w:lang w:val="en-US" w:eastAsia="zh-CN"/>
                    </w:rPr>
                  </w:pPr>
                  <w:r>
                    <w:rPr>
                      <w:rFonts w:hint="eastAsia"/>
                      <w:highlight w:val="none"/>
                      <w:lang w:val="en-US" w:eastAsia="zh-CN"/>
                    </w:rPr>
                    <w:t>苏32128318421011639</w:t>
                  </w:r>
                </w:p>
              </w:tc>
              <w:tc>
                <w:tcPr>
                  <w:tcW w:w="1850" w:type="dxa"/>
                  <w:vAlign w:val="top"/>
                </w:tcPr>
                <w:p>
                  <w:pPr>
                    <w:rPr>
                      <w:rFonts w:hint="default" w:eastAsia="宋体"/>
                      <w:highlight w:val="none"/>
                      <w:lang w:val="en-US" w:eastAsia="zh-CN"/>
                    </w:rPr>
                  </w:pPr>
                  <w:r>
                    <w:rPr>
                      <w:rFonts w:hint="eastAsia"/>
                      <w:highlight w:val="none"/>
                      <w:lang w:val="en-US" w:eastAsia="zh-CN"/>
                    </w:rPr>
                    <w:t>2022.05.09</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r>
                    <w:rPr>
                      <w:rFonts w:hint="eastAsia"/>
                      <w:highlight w:val="none"/>
                      <w:lang w:val="en-US" w:eastAsia="zh-CN"/>
                    </w:rPr>
                    <w:t>生产部分餐间</w:t>
                  </w:r>
                </w:p>
              </w:tc>
              <w:tc>
                <w:tcPr>
                  <w:tcW w:w="1057" w:type="dxa"/>
                </w:tcPr>
                <w:p>
                  <w:pPr>
                    <w:rPr>
                      <w:rFonts w:hint="default" w:eastAsia="宋体"/>
                      <w:highlight w:val="none"/>
                      <w:lang w:val="en-US" w:eastAsia="zh-CN"/>
                    </w:rPr>
                  </w:pPr>
                  <w:r>
                    <w:rPr>
                      <w:rFonts w:hint="eastAsia"/>
                      <w:highlight w:val="none"/>
                      <w:lang w:val="en-US" w:eastAsia="zh-CN"/>
                    </w:rPr>
                    <w:t>徐继芹</w:t>
                  </w:r>
                </w:p>
              </w:tc>
              <w:tc>
                <w:tcPr>
                  <w:tcW w:w="3001" w:type="dxa"/>
                </w:tcPr>
                <w:p>
                  <w:pPr>
                    <w:rPr>
                      <w:rFonts w:hint="default" w:eastAsia="宋体"/>
                      <w:highlight w:val="none"/>
                      <w:lang w:val="en-US" w:eastAsia="zh-CN"/>
                    </w:rPr>
                  </w:pPr>
                  <w:r>
                    <w:rPr>
                      <w:rFonts w:hint="eastAsia"/>
                      <w:highlight w:val="none"/>
                      <w:lang w:val="en-US" w:eastAsia="zh-CN"/>
                    </w:rPr>
                    <w:t>苏32128318421024026</w:t>
                  </w:r>
                </w:p>
              </w:tc>
              <w:tc>
                <w:tcPr>
                  <w:tcW w:w="1850" w:type="dxa"/>
                </w:tcPr>
                <w:p>
                  <w:pPr>
                    <w:rPr>
                      <w:rFonts w:hint="default"/>
                      <w:highlight w:val="none"/>
                      <w:lang w:val="en-US"/>
                    </w:rPr>
                  </w:pPr>
                  <w:r>
                    <w:rPr>
                      <w:rFonts w:hint="eastAsia"/>
                      <w:highlight w:val="none"/>
                    </w:rPr>
                    <w:t>2</w:t>
                  </w:r>
                  <w:r>
                    <w:rPr>
                      <w:highlight w:val="none"/>
                    </w:rPr>
                    <w:t>022.</w:t>
                  </w:r>
                  <w:r>
                    <w:rPr>
                      <w:rFonts w:hint="eastAsia"/>
                      <w:highlight w:val="none"/>
                      <w:lang w:val="en-US" w:eastAsia="zh-CN"/>
                    </w:rPr>
                    <w:t>09.12</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r>
                    <w:rPr>
                      <w:rFonts w:hint="eastAsia"/>
                      <w:highlight w:val="none"/>
                      <w:lang w:val="en-US" w:eastAsia="zh-CN"/>
                    </w:rPr>
                    <w:t>生产部留样</w:t>
                  </w:r>
                </w:p>
              </w:tc>
              <w:tc>
                <w:tcPr>
                  <w:tcW w:w="1057" w:type="dxa"/>
                </w:tcPr>
                <w:p>
                  <w:pPr>
                    <w:rPr>
                      <w:rFonts w:hint="default"/>
                      <w:highlight w:val="none"/>
                      <w:lang w:val="en-US" w:eastAsia="zh-CN"/>
                    </w:rPr>
                  </w:pPr>
                  <w:r>
                    <w:rPr>
                      <w:rFonts w:hint="eastAsia"/>
                      <w:highlight w:val="none"/>
                      <w:lang w:val="en-US" w:eastAsia="zh-CN"/>
                    </w:rPr>
                    <w:t>王晓红</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苏32128318421011627</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lang w:val="en-US" w:eastAsia="zh-CN"/>
                    </w:rPr>
                    <w:t>05.09</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r>
                    <w:rPr>
                      <w:rFonts w:hint="eastAsia"/>
                      <w:highlight w:val="none"/>
                      <w:lang w:val="en-US" w:eastAsia="zh-CN"/>
                    </w:rPr>
                    <w:t>生产部后包</w:t>
                  </w:r>
                </w:p>
              </w:tc>
              <w:tc>
                <w:tcPr>
                  <w:tcW w:w="1057" w:type="dxa"/>
                </w:tcPr>
                <w:p>
                  <w:pPr>
                    <w:rPr>
                      <w:rFonts w:hint="default"/>
                      <w:highlight w:val="none"/>
                      <w:lang w:val="en-US" w:eastAsia="zh-CN"/>
                    </w:rPr>
                  </w:pPr>
                  <w:r>
                    <w:rPr>
                      <w:rFonts w:hint="eastAsia"/>
                      <w:highlight w:val="none"/>
                      <w:lang w:val="en-US" w:eastAsia="zh-CN"/>
                    </w:rPr>
                    <w:t>马巧云</w:t>
                  </w:r>
                </w:p>
              </w:tc>
              <w:tc>
                <w:tcPr>
                  <w:tcW w:w="3001" w:type="dxa"/>
                </w:tcPr>
                <w:p>
                  <w:pPr>
                    <w:rPr>
                      <w:rFonts w:hint="default"/>
                      <w:highlight w:val="none"/>
                      <w:lang w:val="en-US" w:eastAsia="zh-CN"/>
                    </w:rPr>
                  </w:pPr>
                  <w:r>
                    <w:rPr>
                      <w:rFonts w:hint="eastAsia"/>
                      <w:highlight w:val="none"/>
                      <w:lang w:val="en-US" w:eastAsia="zh-CN"/>
                    </w:rPr>
                    <w:t>苏32128318421034657</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2</w:t>
                  </w:r>
                  <w:r>
                    <w:rPr>
                      <w:highlight w:val="none"/>
                    </w:rPr>
                    <w:t>022.</w:t>
                  </w:r>
                  <w:r>
                    <w:rPr>
                      <w:rFonts w:hint="eastAsia"/>
                      <w:highlight w:val="none"/>
                      <w:lang w:val="en-US" w:eastAsia="zh-CN"/>
                    </w:rPr>
                    <w:t>12.01</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yellow"/>
                      <w:lang w:val="en-US" w:eastAsia="zh-CN"/>
                    </w:rPr>
                  </w:pPr>
                </w:p>
              </w:tc>
              <w:tc>
                <w:tcPr>
                  <w:tcW w:w="1057" w:type="dxa"/>
                </w:tcPr>
                <w:p>
                  <w:pPr>
                    <w:rPr>
                      <w:rFonts w:hint="eastAsia"/>
                      <w:highlight w:val="yellow"/>
                      <w:lang w:val="en-US" w:eastAsia="zh-CN"/>
                    </w:rPr>
                  </w:pPr>
                </w:p>
              </w:tc>
              <w:tc>
                <w:tcPr>
                  <w:tcW w:w="3001" w:type="dxa"/>
                </w:tcPr>
                <w:p>
                  <w:pPr>
                    <w:rPr>
                      <w:rFonts w:hint="eastAsia"/>
                      <w:highlight w:val="yellow"/>
                      <w:lang w:val="en-US" w:eastAsia="zh-CN"/>
                    </w:rPr>
                  </w:pPr>
                </w:p>
              </w:tc>
              <w:tc>
                <w:tcPr>
                  <w:tcW w:w="1850" w:type="dxa"/>
                </w:tcPr>
                <w:p>
                  <w:pPr>
                    <w:rPr>
                      <w:rFonts w:hint="eastAsia"/>
                      <w:highlight w:val="yellow"/>
                    </w:rPr>
                  </w:pPr>
                </w:p>
              </w:tc>
              <w:tc>
                <w:tcPr>
                  <w:tcW w:w="1016" w:type="dxa"/>
                </w:tcPr>
                <w:p>
                  <w:pPr>
                    <w:rPr>
                      <w:rFonts w:hint="eastAsia"/>
                      <w:highlight w:val="yellow"/>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质量部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车辆每次装车前进行清洁消毒，合格装车</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2021年度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20211005</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202112</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20211203</w:t>
                  </w:r>
                </w:p>
              </w:tc>
              <w:tc>
                <w:tcPr>
                  <w:tcW w:w="2138" w:type="dxa"/>
                </w:tcPr>
                <w:p>
                  <w:pPr>
                    <w:keepNext w:val="0"/>
                    <w:keepLines w:val="0"/>
                    <w:numPr>
                      <w:ilvl w:val="0"/>
                      <w:numId w:val="0"/>
                    </w:numPr>
                    <w:suppressLineNumbers w:val="0"/>
                    <w:spacing w:before="0" w:beforeAutospacing="0" w:after="0" w:afterAutospacing="0"/>
                    <w:ind w:left="0" w:right="0" w:firstLine="245"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bookmarkStart w:id="40" w:name="_GoBack" w:colFirst="0" w:colLast="2"/>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2021201E011174</w:t>
            </w:r>
            <w:r>
              <w:rPr>
                <w:rFonts w:hint="eastAsia" w:cs="Times New Roman"/>
                <w:color w:val="0000FF"/>
                <w:szCs w:val="21"/>
                <w:highlight w:val="none"/>
                <w:u w:val="single"/>
                <w:lang w:val="en-US" w:eastAsia="zh-CN"/>
              </w:rPr>
              <w:t>6</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泰州市产品质量监督检验院</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2022-01-07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餐盒</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 14934-2016</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2021201E0111747</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泰州市产品质量监督检验院</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2022-01-07</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主食菜肴（酱烧排骨套餐）</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DBS32/003-2014 </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3</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01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cs="Times New Roman"/>
                <w:color w:val="000000"/>
                <w:szCs w:val="21"/>
                <w:lang w:val="en-US" w:eastAsia="zh-CN"/>
              </w:rPr>
              <w:t>02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13"/>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13"/>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1"/>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2301"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16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蒸煮炒等烹饪过程重热过程</w:t>
            </w:r>
          </w:p>
        </w:tc>
        <w:tc>
          <w:tcPr>
            <w:tcW w:w="230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216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操作工每锅测试餐食中心温度</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rPr>
            </w:pPr>
            <w:r>
              <w:rPr>
                <w:rFonts w:hint="eastAsia"/>
                <w:color w:val="0000FF"/>
                <w:highlight w:val="none"/>
                <w:lang w:val="en-US" w:eastAsia="zh-CN"/>
              </w:rPr>
              <w:t>中心温度≥70℃</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餐具清洗消毒</w:t>
            </w:r>
          </w:p>
        </w:tc>
        <w:tc>
          <w:tcPr>
            <w:tcW w:w="230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216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每餐使用后进行清洗消毒，专人负责</w:t>
            </w: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消毒柜/间温度≥100℃，时间≥15min；或自动洗碗机进行清洗消毒，清洗温度≥75℃，时间≥15s   </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230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lang w:val="en-US" w:eastAsia="zh-CN"/>
              </w:rPr>
            </w:pPr>
          </w:p>
        </w:tc>
        <w:tc>
          <w:tcPr>
            <w:tcW w:w="216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pStyle w:val="2"/>
        <w:rPr>
          <w:rFonts w:eastAsia="微软雅黑"/>
          <w:lang w:eastAsia="zh-CN"/>
        </w:rPr>
      </w:pPr>
    </w:p>
    <w:p>
      <w:pPr>
        <w:spacing w:before="40" w:after="40"/>
        <w:rPr>
          <w:rFonts w:eastAsia="微软雅黑"/>
        </w:rPr>
      </w:pPr>
    </w:p>
    <w:p>
      <w:pPr>
        <w:pStyle w:val="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6"/>
  </w:num>
  <w:num w:numId="4">
    <w:abstractNumId w:val="8"/>
  </w:num>
  <w:num w:numId="5">
    <w:abstractNumId w:val="5"/>
  </w:num>
  <w:num w:numId="6">
    <w:abstractNumId w:val="2"/>
  </w:num>
  <w:num w:numId="7">
    <w:abstractNumId w:val="11"/>
  </w:num>
  <w:num w:numId="8">
    <w:abstractNumId w:val="7"/>
  </w:num>
  <w:num w:numId="9">
    <w:abstractNumId w:val="9"/>
  </w:num>
  <w:num w:numId="10">
    <w:abstractNumId w:val="1"/>
  </w:num>
  <w:num w:numId="11">
    <w:abstractNumId w:val="12"/>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FC5357"/>
    <w:rsid w:val="17F61B9F"/>
    <w:rsid w:val="26663961"/>
    <w:rsid w:val="27F60C5C"/>
    <w:rsid w:val="2EAC3361"/>
    <w:rsid w:val="3B0B695B"/>
    <w:rsid w:val="4F816969"/>
    <w:rsid w:val="57E82409"/>
    <w:rsid w:val="63027F93"/>
    <w:rsid w:val="65FF6A0B"/>
    <w:rsid w:val="730E525E"/>
    <w:rsid w:val="775D1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sz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0</TotalTime>
  <ScaleCrop>false</ScaleCrop>
  <LinksUpToDate>false</LinksUpToDate>
  <CharactersWithSpaces>40899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2022-01-07T08:02:30Z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