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1360-2021-EO</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北京华科众合科技有限公司</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0" w:name="E勾选"/>
      <w:r>
        <w:rPr>
          <w:rFonts w:hint="eastAsia"/>
          <w:sz w:val="28"/>
          <w:szCs w:val="28"/>
        </w:rPr>
        <w:t>■</w:t>
      </w:r>
      <w:bookmarkEnd w:id="0"/>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1" w:name="S勾选"/>
      <w:r>
        <w:rPr>
          <w:rFonts w:hint="eastAsia"/>
          <w:sz w:val="28"/>
          <w:szCs w:val="28"/>
        </w:rPr>
        <w:t>■</w:t>
      </w:r>
      <w:bookmarkEnd w:id="1"/>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北京华科众合科技有限公司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北京市海淀区清河嘉园东区甲1号楼13层1337-1</w:t>
            </w:r>
          </w:p>
        </w:tc>
        <w:tc>
          <w:tcPr>
            <w:tcW w:w="1242" w:type="dxa"/>
            <w:vMerge w:val="restart"/>
            <w:vAlign w:val="center"/>
          </w:tcPr>
          <w:p>
            <w:r>
              <w:rPr>
                <w:rFonts w:hint="eastAsia"/>
              </w:rPr>
              <w:t>邮编</w:t>
            </w:r>
          </w:p>
        </w:tc>
        <w:tc>
          <w:tcPr>
            <w:tcW w:w="1771" w:type="dxa"/>
            <w:vAlign w:val="top"/>
          </w:tcPr>
          <w:p>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北京市海淀区清河嘉园东区甲1号楼13层1337-1</w:t>
            </w:r>
          </w:p>
        </w:tc>
        <w:tc>
          <w:tcPr>
            <w:tcW w:w="1242" w:type="dxa"/>
            <w:vMerge w:val="continue"/>
            <w:vAlign w:val="center"/>
          </w:tcPr>
          <w:p/>
        </w:tc>
        <w:tc>
          <w:tcPr>
            <w:tcW w:w="1771" w:type="dxa"/>
            <w:vAlign w:val="top"/>
          </w:tcPr>
          <w:p>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修存胜</w:t>
            </w:r>
          </w:p>
        </w:tc>
        <w:tc>
          <w:tcPr>
            <w:tcW w:w="1313" w:type="dxa"/>
            <w:vAlign w:val="center"/>
          </w:tcPr>
          <w:p>
            <w:r>
              <w:rPr>
                <w:rFonts w:hint="eastAsia"/>
              </w:rPr>
              <w:t>电话.</w:t>
            </w:r>
          </w:p>
        </w:tc>
        <w:tc>
          <w:tcPr>
            <w:tcW w:w="2180" w:type="dxa"/>
            <w:vAlign w:val="center"/>
          </w:tcPr>
          <w:p>
            <w:r>
              <w:t>18633686664</w:t>
            </w:r>
          </w:p>
        </w:tc>
        <w:tc>
          <w:tcPr>
            <w:tcW w:w="1242" w:type="dxa"/>
            <w:vAlign w:val="center"/>
          </w:tcPr>
          <w:p>
            <w:r>
              <w:rPr>
                <w:rFonts w:hint="eastAsia"/>
              </w:rPr>
              <w:t>传真</w:t>
            </w:r>
          </w:p>
        </w:tc>
        <w:tc>
          <w:tcPr>
            <w:tcW w:w="1771" w:type="dxa"/>
          </w:tcPr>
          <w:p>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蔡建金</w:t>
            </w:r>
          </w:p>
        </w:tc>
        <w:tc>
          <w:tcPr>
            <w:tcW w:w="1313" w:type="dxa"/>
            <w:vAlign w:val="center"/>
          </w:tcPr>
          <w:p>
            <w:r>
              <w:rPr>
                <w:rFonts w:hint="eastAsia"/>
              </w:rPr>
              <w:t>管理者代表</w:t>
            </w:r>
          </w:p>
        </w:tc>
        <w:tc>
          <w:tcPr>
            <w:tcW w:w="2180" w:type="dxa"/>
            <w:vAlign w:val="top"/>
          </w:tcPr>
          <w:p>
            <w:r>
              <w:t>刘建瑞</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lang w:eastAsia="zh-CN"/>
              </w:rPr>
            </w:pPr>
            <w:r>
              <w:rPr>
                <w:rFonts w:hint="eastAsia"/>
                <w:lang w:eastAsia="zh-CN"/>
              </w:rPr>
              <w:t xml:space="preserve">业务实现流程： </w:t>
            </w:r>
          </w:p>
          <w:p>
            <w:pPr>
              <w:rPr>
                <w:lang w:eastAsia="zh-CN"/>
              </w:rPr>
            </w:pPr>
          </w:p>
          <w:p>
            <w:pPr>
              <w:rPr>
                <w:rFonts w:hint="default"/>
                <w:lang w:val="en-US" w:eastAsia="zh-CN"/>
              </w:rPr>
            </w:pPr>
            <w:r>
              <w:rPr>
                <w:rFonts w:hint="eastAsia"/>
              </w:rPr>
              <w:t>需求分析→概要设计→详细设计→代码编写→软件测试→试运行→产品交付→安装→</w:t>
            </w:r>
            <w:r>
              <w:rPr>
                <w:rFonts w:hint="eastAsia"/>
                <w:lang w:val="en-US" w:eastAsia="zh-CN"/>
              </w:rPr>
              <w:t>客户验收</w:t>
            </w:r>
          </w:p>
          <w:p>
            <w:pPr>
              <w:rPr>
                <w:lang w:eastAsia="zh-CN"/>
              </w:rPr>
            </w:pPr>
          </w:p>
          <w:p>
            <w:pPr>
              <w:rPr>
                <w:rFonts w:hint="default"/>
                <w:lang w:val="en-US" w:eastAsia="zh-CN"/>
              </w:rPr>
            </w:pPr>
            <w:r>
              <w:rPr>
                <w:rFonts w:hint="eastAsia"/>
                <w:lang w:val="en-US" w:eastAsia="zh-CN"/>
              </w:rPr>
              <w:t>信息咨询业务流程</w:t>
            </w:r>
          </w:p>
          <w:p>
            <w:pPr>
              <w:rPr>
                <w:rFonts w:hint="eastAsia"/>
                <w:lang w:val="en-US" w:eastAsia="zh-CN"/>
              </w:rPr>
            </w:pPr>
            <w:r>
              <w:rPr>
                <w:rFonts w:hint="eastAsia"/>
                <w:lang w:val="en-US" w:eastAsia="zh-CN"/>
              </w:rPr>
              <w:t>需求确定→调查分析→收集数据→数据分析→咨询报告</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3" w:name="审核日期"/>
            <w:r>
              <w:rPr>
                <w:rFonts w:hint="eastAsia"/>
                <w:b/>
                <w:sz w:val="20"/>
              </w:rPr>
              <w:t>2022年01月07日 下午至2022年01月08日 下午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4" w:name="初审"/>
            <w:r>
              <w:rPr>
                <w:rFonts w:hint="eastAsia"/>
              </w:rPr>
              <w:t>■</w:t>
            </w:r>
            <w:bookmarkEnd w:id="4"/>
            <w:r>
              <w:rPr>
                <w:rFonts w:hint="eastAsia"/>
              </w:rPr>
              <w:t>初审二阶段：评价组织管理体系建立、实施运行的符合性及有效性，以确定是否推荐认证注册。</w:t>
            </w:r>
          </w:p>
          <w:p>
            <w:bookmarkStart w:id="5" w:name="监督勾选"/>
            <w:r>
              <w:rPr>
                <w:rFonts w:hint="eastAsia"/>
              </w:rPr>
              <w:t>□</w:t>
            </w:r>
            <w:bookmarkEnd w:id="5"/>
            <w:r>
              <w:rPr>
                <w:rFonts w:hint="eastAsia"/>
              </w:rPr>
              <w:t>监督审核：评价组织管理体系的持续符合性和有效性，以确定是否推荐保持认证证书。</w:t>
            </w:r>
          </w:p>
          <w:p>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bookmarkStart w:id="7" w:name="扩项勾选"/>
            <w:r>
              <w:rPr>
                <w:rFonts w:hint="eastAsia"/>
              </w:rPr>
              <w:t>□</w:t>
            </w:r>
            <w:bookmarkEnd w:id="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8" w:name="QJ勾选Add1"/>
            <w:r>
              <w:rPr>
                <w:rFonts w:hint="eastAsia"/>
                <w:lang w:val="de-DE"/>
              </w:rPr>
              <w:t>□</w:t>
            </w:r>
            <w:bookmarkEnd w:id="8"/>
            <w:r>
              <w:rPr>
                <w:rFonts w:hint="eastAsia"/>
                <w:lang w:val="de-DE"/>
              </w:rPr>
              <w:t>GB/T 50430-2017</w:t>
            </w:r>
          </w:p>
          <w:p>
            <w:pPr>
              <w:rPr>
                <w:lang w:val="de-DE"/>
              </w:rPr>
            </w:pPr>
            <w:bookmarkStart w:id="9" w:name="E勾选Add1"/>
            <w:r>
              <w:rPr>
                <w:rFonts w:hint="eastAsia"/>
                <w:lang w:val="de-DE"/>
              </w:rPr>
              <w:t>■</w:t>
            </w:r>
            <w:bookmarkEnd w:id="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0" w:name="S勾选Add1"/>
            <w:r>
              <w:rPr>
                <w:rFonts w:hint="eastAsia"/>
                <w:lang w:val="de-DE"/>
              </w:rPr>
              <w:t>■</w:t>
            </w:r>
            <w:bookmarkEnd w:id="1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1" w:name="二阶段勾选"/>
            <w:r>
              <w:rPr>
                <w:rFonts w:hint="eastAsia"/>
              </w:rPr>
              <w:t>■</w:t>
            </w:r>
            <w:bookmarkEnd w:id="11"/>
            <w:r>
              <w:rPr>
                <w:rFonts w:hint="eastAsia"/>
              </w:rPr>
              <w:t>初审二阶段</w:t>
            </w:r>
            <w:bookmarkStart w:id="12" w:name="监督勾选Add1"/>
            <w:r>
              <w:rPr>
                <w:rFonts w:hint="eastAsia"/>
              </w:rPr>
              <w:t>□</w:t>
            </w:r>
            <w:bookmarkEnd w:id="12"/>
            <w:r>
              <w:rPr>
                <w:rFonts w:hint="eastAsia"/>
              </w:rPr>
              <w:t>监督第</w:t>
            </w:r>
            <w:bookmarkStart w:id="13" w:name="监督次数"/>
            <w:bookmarkEnd w:id="13"/>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音频</w:t>
            </w:r>
            <w:r>
              <w:rPr>
                <w:rFonts w:hint="eastAsia" w:ascii="宋体"/>
                <w:b/>
                <w:color w:val="0000FF"/>
                <w:szCs w:val="21"/>
              </w:rPr>
              <w:sym w:font="Wingdings 2" w:char="00A3"/>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A3"/>
            </w:r>
            <w:r>
              <w:rPr>
                <w:rFonts w:hint="eastAsia" w:ascii="宋体"/>
                <w:b/>
                <w:color w:val="0000FF"/>
                <w:szCs w:val="21"/>
              </w:rPr>
              <w:t>智能手机□手持设备</w:t>
            </w:r>
            <w:r>
              <w:rPr>
                <w:rFonts w:hint="eastAsia" w:ascii="宋体"/>
                <w:b/>
                <w:color w:val="0000FF"/>
                <w:szCs w:val="21"/>
              </w:rPr>
              <w:sym w:font="Wingdings 2" w:char="00A3"/>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6" w:name="审核范围"/>
            <w:r>
              <w:t>E：</w:t>
            </w:r>
            <w:r>
              <w:rPr>
                <w:rFonts w:hint="eastAsia"/>
                <w:lang w:eastAsia="zh-CN"/>
              </w:rPr>
              <w:t>计算机信息系统集成、计算机应用软件开发（医疗器械软件除外）和企业信息规划咨询</w:t>
            </w:r>
            <w:r>
              <w:t>所涉及场所的相关环境管理活动</w:t>
            </w:r>
          </w:p>
          <w:p>
            <w:r>
              <w:t>O：</w:t>
            </w:r>
            <w:r>
              <w:rPr>
                <w:rFonts w:hint="eastAsia"/>
                <w:lang w:eastAsia="zh-CN"/>
              </w:rPr>
              <w:t>计算机信息系统集成、计算机应用软件开发（医疗器械软件除外）和企业信息规划咨询</w:t>
            </w:r>
            <w:r>
              <w:t>所涉及场所的相关职业健康安全管理活动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17" w:name="专业代码"/>
            <w:r>
              <w:t>E：</w:t>
            </w:r>
            <w:r>
              <w:rPr>
                <w:rFonts w:hint="eastAsia"/>
                <w:lang w:eastAsia="zh-CN"/>
              </w:rPr>
              <w:t>33.02.01;33.02.02;35.04.02</w:t>
            </w:r>
          </w:p>
          <w:p>
            <w:pPr>
              <w:rPr>
                <w:rFonts w:hint="eastAsia" w:eastAsia="宋体"/>
                <w:lang w:eastAsia="zh-CN"/>
              </w:rPr>
            </w:pPr>
            <w:r>
              <w:t>O：</w:t>
            </w:r>
            <w:bookmarkEnd w:id="17"/>
            <w:r>
              <w:rPr>
                <w:rFonts w:hint="eastAsia"/>
                <w:lang w:eastAsia="zh-CN"/>
              </w:rPr>
              <w:t>33.02.01;33.02.02;35.04.02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1</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宋体"/>
                <w:lang w:eastAsia="zh-CN"/>
              </w:rPr>
            </w:pPr>
            <w:r>
              <w:rPr>
                <w:rFonts w:hint="eastAsia"/>
                <w:lang w:eastAsia="zh-CN"/>
              </w:rPr>
              <w:t>北京华科众合科技有限公司</w:t>
            </w:r>
          </w:p>
          <w:p>
            <w:pPr>
              <w:spacing w:before="40" w:after="40"/>
              <w:rPr>
                <w:rFonts w:hint="eastAsia" w:eastAsia="宋体"/>
                <w:lang w:val="de-DE" w:eastAsia="zh-CN"/>
              </w:rPr>
            </w:pPr>
            <w:r>
              <w:rPr>
                <w:rFonts w:hint="eastAsia"/>
                <w:sz w:val="21"/>
                <w:szCs w:val="21"/>
                <w:lang w:eastAsia="zh-CN"/>
              </w:rPr>
              <w:t>北京市海淀区清河嘉园东区甲1号楼13层1337-1</w:t>
            </w:r>
          </w:p>
        </w:tc>
        <w:tc>
          <w:tcPr>
            <w:tcW w:w="2267" w:type="dxa"/>
            <w:vAlign w:val="top"/>
          </w:tcPr>
          <w:p>
            <w:pPr>
              <w:spacing w:before="40" w:after="40"/>
              <w:rPr>
                <w:rFonts w:hint="eastAsia" w:eastAsia="宋体"/>
                <w:lang w:val="de-DE" w:eastAsia="zh-CN"/>
              </w:rPr>
            </w:pPr>
            <w:r>
              <w:rPr>
                <w:rFonts w:hint="eastAsia"/>
                <w:sz w:val="21"/>
                <w:szCs w:val="21"/>
                <w:lang w:eastAsia="zh-CN"/>
              </w:rPr>
              <w:t>北京市海淀区清河嘉园东区甲1号楼13层1337-1</w:t>
            </w:r>
          </w:p>
        </w:tc>
        <w:tc>
          <w:tcPr>
            <w:tcW w:w="571" w:type="dxa"/>
            <w:vAlign w:val="center"/>
          </w:tcPr>
          <w:p>
            <w:pPr>
              <w:spacing w:before="40" w:after="40"/>
              <w:rPr>
                <w:rFonts w:hint="default"/>
                <w:lang w:val="en-US" w:eastAsia="ja-JP"/>
              </w:rPr>
            </w:pPr>
            <w:r>
              <w:rPr>
                <w:rFonts w:hint="eastAsia" w:eastAsia="黑体"/>
                <w:szCs w:val="21"/>
                <w:lang w:val="en-US" w:eastAsia="zh-CN"/>
              </w:rPr>
              <w:t>45</w:t>
            </w:r>
          </w:p>
        </w:tc>
        <w:tc>
          <w:tcPr>
            <w:tcW w:w="2803" w:type="dxa"/>
            <w:vAlign w:val="center"/>
          </w:tcPr>
          <w:p>
            <w:r>
              <w:t>E：</w:t>
            </w:r>
            <w:r>
              <w:rPr>
                <w:rFonts w:hint="eastAsia"/>
                <w:lang w:eastAsia="zh-CN"/>
              </w:rPr>
              <w:t>计算机信息系统集成、计算机应用软件开发（医疗器械软件除外）和企业信息规划咨询</w:t>
            </w:r>
            <w:r>
              <w:t>所涉及场所的相关环境管理活动</w:t>
            </w:r>
          </w:p>
          <w:p>
            <w:pPr>
              <w:pStyle w:val="22"/>
              <w:rPr>
                <w:lang w:eastAsia="ja-JP"/>
              </w:rPr>
            </w:pPr>
            <w:r>
              <w:t>O：</w:t>
            </w:r>
            <w:r>
              <w:rPr>
                <w:rFonts w:hint="eastAsia" w:eastAsia="宋体"/>
                <w:lang w:eastAsia="zh-CN"/>
              </w:rPr>
              <w:t>计算机信息系统集成、计算机应用软件开发（医疗器械软件除外）和企业信息规划咨询</w:t>
            </w:r>
            <w:r>
              <w:t>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pPr>
            <w:r>
              <w:rPr>
                <w:sz w:val="20"/>
                <w:lang w:val="de-DE"/>
              </w:rPr>
              <w:t>张磊</w:t>
            </w:r>
          </w:p>
        </w:tc>
        <w:tc>
          <w:tcPr>
            <w:tcW w:w="1089" w:type="dxa"/>
            <w:vAlign w:val="center"/>
          </w:tcPr>
          <w:p>
            <w:pPr>
              <w:jc w:val="center"/>
            </w:pPr>
            <w:r>
              <w:rPr>
                <w:sz w:val="20"/>
              </w:rPr>
              <w:t>组长</w:t>
            </w:r>
          </w:p>
        </w:tc>
        <w:tc>
          <w:tcPr>
            <w:tcW w:w="711" w:type="dxa"/>
            <w:vAlign w:val="center"/>
          </w:tcPr>
          <w:p>
            <w:pPr>
              <w:jc w:val="center"/>
            </w:pPr>
            <w:r>
              <w:rPr>
                <w:sz w:val="20"/>
                <w:lang w:val="de-DE"/>
              </w:rPr>
              <w:t>男</w:t>
            </w:r>
          </w:p>
        </w:tc>
        <w:tc>
          <w:tcPr>
            <w:tcW w:w="3870" w:type="dxa"/>
            <w:vAlign w:val="center"/>
          </w:tcPr>
          <w:p>
            <w:pPr>
              <w:jc w:val="center"/>
              <w:rPr>
                <w:sz w:val="20"/>
                <w:lang w:val="de-DE"/>
              </w:rPr>
            </w:pPr>
            <w:r>
              <w:rPr>
                <w:sz w:val="20"/>
                <w:lang w:val="de-DE"/>
              </w:rPr>
              <w:t>2020-N1EMS-1258213</w:t>
            </w:r>
          </w:p>
          <w:p>
            <w:pPr>
              <w:jc w:val="center"/>
            </w:pPr>
            <w:r>
              <w:rPr>
                <w:sz w:val="20"/>
                <w:lang w:val="de-DE"/>
              </w:rPr>
              <w:t>2020-N1OHSMS-1258213</w:t>
            </w:r>
          </w:p>
        </w:tc>
        <w:tc>
          <w:tcPr>
            <w:tcW w:w="2179" w:type="dxa"/>
            <w:vAlign w:val="center"/>
          </w:tcPr>
          <w:p>
            <w:pPr>
              <w:jc w:val="center"/>
              <w:rPr>
                <w:sz w:val="20"/>
                <w:lang w:val="de-DE"/>
              </w:rPr>
            </w:pPr>
            <w:r>
              <w:rPr>
                <w:sz w:val="20"/>
                <w:lang w:val="de-DE"/>
              </w:rPr>
              <w:t>E:33.02.01,33.02.02,35.04.02</w:t>
            </w:r>
          </w:p>
          <w:p>
            <w:pPr>
              <w:jc w:val="center"/>
              <w:rPr>
                <w:rFonts w:hint="eastAsia" w:eastAsia="宋体"/>
                <w:lang w:eastAsia="zh-CN"/>
              </w:rPr>
            </w:pPr>
            <w:r>
              <w:rPr>
                <w:sz w:val="20"/>
                <w:lang w:val="de-DE"/>
              </w:rPr>
              <w:t>O:33.02.01,33.02.02,35.04.02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pPr>
            <w:r>
              <w:rPr>
                <w:sz w:val="20"/>
                <w:lang w:val="de-DE"/>
              </w:rPr>
              <w:t>李雅静</w:t>
            </w:r>
          </w:p>
        </w:tc>
        <w:tc>
          <w:tcPr>
            <w:tcW w:w="1089" w:type="dxa"/>
            <w:vAlign w:val="center"/>
          </w:tcPr>
          <w:p>
            <w:pPr>
              <w:jc w:val="center"/>
            </w:pPr>
            <w:r>
              <w:rPr>
                <w:sz w:val="20"/>
              </w:rPr>
              <w:t>组员</w:t>
            </w:r>
          </w:p>
        </w:tc>
        <w:tc>
          <w:tcPr>
            <w:tcW w:w="711" w:type="dxa"/>
            <w:vAlign w:val="center"/>
          </w:tcPr>
          <w:p>
            <w:pPr>
              <w:jc w:val="center"/>
            </w:pPr>
            <w:r>
              <w:rPr>
                <w:sz w:val="20"/>
                <w:lang w:val="de-DE"/>
              </w:rPr>
              <w:t>女</w:t>
            </w:r>
          </w:p>
        </w:tc>
        <w:tc>
          <w:tcPr>
            <w:tcW w:w="3870" w:type="dxa"/>
            <w:vAlign w:val="center"/>
          </w:tcPr>
          <w:p>
            <w:pPr>
              <w:jc w:val="center"/>
              <w:rPr>
                <w:sz w:val="20"/>
                <w:lang w:val="de-DE"/>
              </w:rPr>
            </w:pPr>
            <w:r>
              <w:rPr>
                <w:sz w:val="20"/>
                <w:lang w:val="de-DE"/>
              </w:rPr>
              <w:t>2020-N1EMS-1218164</w:t>
            </w:r>
          </w:p>
          <w:p>
            <w:pPr>
              <w:jc w:val="center"/>
            </w:pPr>
            <w:r>
              <w:rPr>
                <w:sz w:val="20"/>
                <w:lang w:val="de-DE"/>
              </w:rPr>
              <w:t>2021-N1OHSMS-2218164</w:t>
            </w:r>
          </w:p>
        </w:tc>
        <w:tc>
          <w:tcPr>
            <w:tcW w:w="2179" w:type="dxa"/>
            <w:vAlign w:val="center"/>
          </w:tcPr>
          <w:p>
            <w:pPr>
              <w:jc w:val="center"/>
              <w:rPr>
                <w:sz w:val="20"/>
                <w:lang w:val="de-DE"/>
              </w:rPr>
            </w:pPr>
            <w:r>
              <w:rPr>
                <w:sz w:val="20"/>
                <w:lang w:val="de-DE"/>
              </w:rPr>
              <w:t>E:33.02.01,33.02.02,35.04.02</w:t>
            </w:r>
          </w:p>
          <w:p>
            <w:pPr>
              <w:jc w:val="center"/>
            </w:pPr>
            <w:r>
              <w:rPr>
                <w:sz w:val="20"/>
                <w:lang w:val="de-DE"/>
              </w:rPr>
              <w:t>O:33.02.01,33.02.02,35.04.02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pPr>
            <w:r>
              <w:rPr>
                <w:sz w:val="20"/>
                <w:lang w:val="de-DE"/>
              </w:rPr>
              <w:t>夏爱俭</w:t>
            </w:r>
          </w:p>
        </w:tc>
        <w:tc>
          <w:tcPr>
            <w:tcW w:w="1089" w:type="dxa"/>
            <w:vAlign w:val="center"/>
          </w:tcPr>
          <w:p>
            <w:pPr>
              <w:jc w:val="center"/>
            </w:pPr>
            <w:r>
              <w:rPr>
                <w:sz w:val="20"/>
              </w:rPr>
              <w:t>组员</w:t>
            </w:r>
          </w:p>
        </w:tc>
        <w:tc>
          <w:tcPr>
            <w:tcW w:w="711" w:type="dxa"/>
            <w:vAlign w:val="center"/>
          </w:tcPr>
          <w:p>
            <w:pPr>
              <w:jc w:val="center"/>
            </w:pPr>
            <w:r>
              <w:rPr>
                <w:sz w:val="20"/>
                <w:lang w:val="de-DE"/>
              </w:rPr>
              <w:t>女</w:t>
            </w:r>
          </w:p>
        </w:tc>
        <w:tc>
          <w:tcPr>
            <w:tcW w:w="3870" w:type="dxa"/>
            <w:vAlign w:val="center"/>
          </w:tcPr>
          <w:p>
            <w:pPr>
              <w:jc w:val="center"/>
              <w:rPr>
                <w:rFonts w:hint="eastAsia"/>
                <w:sz w:val="20"/>
                <w:lang w:val="de-DE" w:eastAsia="zh-CN"/>
              </w:rPr>
            </w:pPr>
            <w:r>
              <w:rPr>
                <w:rFonts w:hint="eastAsia"/>
                <w:sz w:val="20"/>
                <w:lang w:val="de-DE" w:eastAsia="zh-CN"/>
              </w:rPr>
              <w:t>2021-N1EMS-1226516</w:t>
            </w:r>
          </w:p>
          <w:p>
            <w:pPr>
              <w:pStyle w:val="13"/>
            </w:pPr>
            <w:r>
              <w:rPr>
                <w:rFonts w:hint="eastAsia"/>
                <w:sz w:val="20"/>
                <w:lang w:val="de-DE" w:eastAsia="zh-CN"/>
              </w:rPr>
              <w:t>2021-N0OHSMS-1226516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A3"/>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A3"/>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79375</wp:posOffset>
                  </wp:positionH>
                  <wp:positionV relativeFrom="paragraph">
                    <wp:posOffset>18415</wp:posOffset>
                  </wp:positionV>
                  <wp:extent cx="601345" cy="270510"/>
                  <wp:effectExtent l="0" t="0" r="8255" b="8890"/>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01345" cy="2705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管理体系方针：以人为本，安全环保；遵章守法，持续改进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w:t>
            </w:r>
            <w:r>
              <w:rPr>
                <w:rFonts w:hint="eastAsia"/>
                <w:lang w:eastAsia="zh-CN"/>
              </w:rPr>
              <w:t>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4"/>
              <w:gridCol w:w="22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4"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2281"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4"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政策风险：一家集计算机信息系统集成、计算机应用软件开发（医疗器械软件除外）和企业信息规划咨询服务外包于一体的高科技发展企业，广泛服务于能源化工、装备制造、汽车、房地产、医药食品、航空、金融保险等行业，有产业和政策调整的风险较小。</w:t>
                  </w:r>
                </w:p>
              </w:tc>
              <w:tc>
                <w:tcPr>
                  <w:tcW w:w="2281"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企业拟在其它类型的工作业务扩大做准备。</w:t>
                  </w:r>
                </w:p>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4" w:type="dxa"/>
                </w:tcPr>
                <w:p>
                  <w:pPr>
                    <w:shd w:val="clear" w:color="auto" w:fill="EBF1DE" w:themeFill="accent3" w:themeFillTint="32"/>
                    <w:rPr>
                      <w:rFonts w:hint="eastAsia" w:ascii="Times New Roman" w:hAnsi="Times New Roman" w:eastAsia="宋体" w:cs="Times New Roman"/>
                    </w:rPr>
                  </w:pPr>
                  <w:r>
                    <w:rPr>
                      <w:rFonts w:hint="eastAsia"/>
                    </w:rPr>
                    <w:t>技术风险</w:t>
                  </w:r>
                </w:p>
              </w:tc>
              <w:tc>
                <w:tcPr>
                  <w:tcW w:w="2281" w:type="dxa"/>
                </w:tcPr>
                <w:p>
                  <w:pPr>
                    <w:shd w:val="clear" w:color="auto" w:fill="EBF1DE" w:themeFill="accent3" w:themeFillTint="32"/>
                    <w:rPr>
                      <w:rFonts w:hint="eastAsia" w:ascii="Times New Roman" w:hAnsi="Times New Roman" w:eastAsia="宋体" w:cs="Times New Roman"/>
                    </w:rPr>
                  </w:pPr>
                  <w:r>
                    <w:rPr>
                      <w:rFonts w:hint="eastAsia"/>
                    </w:rPr>
                    <w:t>公司拟招聘经验丰富的技术服务人员，并不断组织人员到同行优秀企业学习，加大产品服务及后期作业工作能力的提升，不断提高我企业的行业竞争能力，规避相关技术风险</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4"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2281"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4" w:type="dxa"/>
                </w:tcPr>
                <w:p>
                  <w:pPr>
                    <w:shd w:val="clear" w:color="auto" w:fill="EBF1DE" w:themeFill="accent3" w:themeFillTint="32"/>
                    <w:rPr>
                      <w:rFonts w:hint="eastAsia" w:ascii="Times New Roman" w:hAnsi="Times New Roman" w:eastAsia="宋体" w:cs="Times New Roman"/>
                    </w:rPr>
                  </w:pPr>
                </w:p>
              </w:tc>
              <w:tc>
                <w:tcPr>
                  <w:tcW w:w="2281"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1390"/>
              <w:gridCol w:w="1786"/>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Pr>
                <w:p>
                  <w:pPr>
                    <w:widowControl/>
                    <w:spacing w:before="40"/>
                    <w:jc w:val="left"/>
                    <w:rPr>
                      <w:color w:val="000000"/>
                      <w:szCs w:val="18"/>
                    </w:rPr>
                  </w:pPr>
                  <w:r>
                    <w:rPr>
                      <w:rFonts w:hint="eastAsia"/>
                      <w:color w:val="000000"/>
                      <w:szCs w:val="18"/>
                    </w:rPr>
                    <w:t>目标</w:t>
                  </w:r>
                </w:p>
              </w:tc>
              <w:tc>
                <w:tcPr>
                  <w:tcW w:w="1390" w:type="dxa"/>
                </w:tcPr>
                <w:p>
                  <w:pPr>
                    <w:widowControl/>
                    <w:spacing w:before="40"/>
                    <w:jc w:val="left"/>
                    <w:rPr>
                      <w:color w:val="000000"/>
                      <w:szCs w:val="18"/>
                    </w:rPr>
                  </w:pPr>
                  <w:r>
                    <w:rPr>
                      <w:rFonts w:hint="eastAsia"/>
                      <w:color w:val="000000"/>
                      <w:szCs w:val="18"/>
                    </w:rPr>
                    <w:t>考核频次</w:t>
                  </w:r>
                </w:p>
              </w:tc>
              <w:tc>
                <w:tcPr>
                  <w:tcW w:w="1786" w:type="dxa"/>
                </w:tcPr>
                <w:p>
                  <w:pPr>
                    <w:widowControl/>
                    <w:spacing w:before="40"/>
                    <w:jc w:val="left"/>
                    <w:rPr>
                      <w:color w:val="000000"/>
                      <w:szCs w:val="18"/>
                    </w:rPr>
                  </w:pPr>
                  <w:r>
                    <w:rPr>
                      <w:rFonts w:hint="eastAsia"/>
                      <w:color w:val="000000"/>
                      <w:szCs w:val="18"/>
                    </w:rPr>
                    <w:t>计算方法</w:t>
                  </w:r>
                </w:p>
              </w:tc>
              <w:tc>
                <w:tcPr>
                  <w:tcW w:w="2157"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Pr>
                <w:p>
                  <w:pPr>
                    <w:autoSpaceDE w:val="0"/>
                    <w:autoSpaceDN w:val="0"/>
                    <w:adjustRightInd w:val="0"/>
                    <w:jc w:val="left"/>
                    <w:rPr>
                      <w:rFonts w:hint="eastAsia" w:ascii="Times New Roman" w:hAnsi="Times New Roman" w:eastAsia="宋体" w:cs="Times New Roman"/>
                      <w:color w:val="000000"/>
                      <w:szCs w:val="18"/>
                    </w:rPr>
                  </w:pPr>
                  <w:r>
                    <w:rPr>
                      <w:rFonts w:hint="eastAsia" w:ascii="宋体" w:hAnsi="宋体" w:cs="宋体"/>
                      <w:kern w:val="0"/>
                      <w:lang w:bidi="ar"/>
                    </w:rPr>
                    <w:t>固体废弃物100%分类，合理处理</w:t>
                  </w:r>
                </w:p>
              </w:tc>
              <w:tc>
                <w:tcPr>
                  <w:tcW w:w="1390" w:type="dxa"/>
                </w:tcPr>
                <w:p>
                  <w:pPr>
                    <w:widowControl/>
                    <w:spacing w:before="40"/>
                    <w:jc w:val="left"/>
                    <w:rPr>
                      <w:rFonts w:hint="default" w:ascii="Times New Roman" w:hAnsi="Times New Roman" w:eastAsia="宋体" w:cs="Times New Roman"/>
                      <w:color w:val="000000"/>
                      <w:szCs w:val="18"/>
                      <w:lang w:val="en-US" w:eastAsia="zh-CN"/>
                    </w:rPr>
                  </w:pPr>
                  <w:r>
                    <w:rPr>
                      <w:rFonts w:hint="eastAsia" w:ascii="宋体" w:hAnsi="宋体" w:eastAsia="宋体" w:cs="宋体"/>
                      <w:color w:val="000000"/>
                      <w:sz w:val="21"/>
                      <w:szCs w:val="21"/>
                      <w:lang w:val="en-US" w:eastAsia="zh-CN"/>
                    </w:rPr>
                    <w:t>每季度</w:t>
                  </w:r>
                </w:p>
              </w:tc>
              <w:tc>
                <w:tcPr>
                  <w:tcW w:w="1786" w:type="dxa"/>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检查实际情况</w:t>
                  </w:r>
                </w:p>
              </w:tc>
              <w:tc>
                <w:tcPr>
                  <w:tcW w:w="2157" w:type="dxa"/>
                </w:tcPr>
                <w:p>
                  <w:pPr>
                    <w:widowControl/>
                    <w:spacing w:before="40"/>
                    <w:jc w:val="left"/>
                    <w:rPr>
                      <w:rFonts w:hint="default"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9" w:type="dxa"/>
                </w:tcPr>
                <w:p>
                  <w:pPr>
                    <w:autoSpaceDE w:val="0"/>
                    <w:autoSpaceDN w:val="0"/>
                    <w:adjustRightInd w:val="0"/>
                    <w:jc w:val="left"/>
                    <w:rPr>
                      <w:rFonts w:hint="eastAsia" w:ascii="Times New Roman" w:hAnsi="Times New Roman" w:eastAsia="宋体" w:cs="Times New Roman"/>
                      <w:color w:val="000000"/>
                      <w:szCs w:val="18"/>
                    </w:rPr>
                  </w:pPr>
                  <w:r>
                    <w:rPr>
                      <w:rFonts w:hint="eastAsia" w:ascii="宋体" w:hAnsi="宋体" w:cs="宋体"/>
                      <w:kern w:val="0"/>
                      <w:lang w:bidi="ar"/>
                    </w:rPr>
                    <w:t>环境污染事故发生率为零</w:t>
                  </w:r>
                </w:p>
              </w:tc>
              <w:tc>
                <w:tcPr>
                  <w:tcW w:w="1390" w:type="dxa"/>
                </w:tcPr>
                <w:p>
                  <w:pPr>
                    <w:widowControl/>
                    <w:spacing w:before="40"/>
                    <w:jc w:val="left"/>
                    <w:rPr>
                      <w:rFonts w:hint="default" w:ascii="Times New Roman" w:hAnsi="Times New Roman" w:eastAsia="宋体" w:cs="Times New Roman"/>
                      <w:color w:val="000000"/>
                      <w:szCs w:val="18"/>
                      <w:lang w:val="en-US" w:eastAsia="zh-CN"/>
                    </w:rPr>
                  </w:pPr>
                  <w:r>
                    <w:rPr>
                      <w:rFonts w:hint="eastAsia" w:ascii="宋体" w:hAnsi="宋体" w:eastAsia="宋体" w:cs="宋体"/>
                      <w:color w:val="000000"/>
                      <w:sz w:val="21"/>
                      <w:szCs w:val="21"/>
                      <w:lang w:val="en-US" w:eastAsia="zh-CN"/>
                    </w:rPr>
                    <w:t>每季度</w:t>
                  </w:r>
                </w:p>
              </w:tc>
              <w:tc>
                <w:tcPr>
                  <w:tcW w:w="1786" w:type="dxa"/>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检查实际情况</w:t>
                  </w:r>
                </w:p>
              </w:tc>
              <w:tc>
                <w:tcPr>
                  <w:tcW w:w="2157" w:type="dxa"/>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255</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电脑、打印机、传真机</w:t>
            </w:r>
            <w:r>
              <w:rPr>
                <w:rFonts w:hint="eastAsia"/>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rPr>
              <w:sym w:font="Wingdings 2" w:char="00A3"/>
            </w:r>
            <w:r>
              <w:rPr>
                <w:rFonts w:hint="eastAsia"/>
                <w:lang w:eastAsia="zh-CN"/>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  2021年11月20日进行了的演练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  2021年11月20日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  2021年12月10日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  2021年12月20日对组织的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3"/>
        <w:numPr>
          <w:ilvl w:val="1"/>
          <w:numId w:val="0"/>
        </w:numPr>
        <w:ind w:leftChars="0"/>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管理体系方针：以人为本，安全环保；遵章守法，持续改进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主管部门是——综合部</w:t>
            </w:r>
          </w:p>
          <w:p>
            <w:pPr>
              <w:rPr>
                <w:rFonts w:hint="eastAsia" w:eastAsia="宋体"/>
                <w:lang w:eastAsia="zh-CN"/>
              </w:rPr>
            </w:pPr>
            <w:r>
              <w:rPr>
                <w:rFonts w:hint="eastAsia"/>
              </w:rPr>
              <w:t>安全的</w:t>
            </w:r>
            <w:r>
              <w:rPr>
                <w:rFonts w:hint="eastAsia"/>
                <w:lang w:eastAsia="zh-CN"/>
              </w:rPr>
              <w:t>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lang w:val="en-US"/>
              </w:rPr>
            </w:pPr>
            <w:r>
              <w:rPr>
                <w:rFonts w:hint="eastAsia"/>
              </w:rPr>
              <w:t>员工代表是——</w:t>
            </w:r>
            <w:r>
              <w:rPr>
                <w:rFonts w:hint="eastAsia"/>
                <w:lang w:val="en-US" w:eastAsia="zh-CN"/>
              </w:rPr>
              <w:t>赵志芳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政策风险：一家集计算机信息系统集成、计算机应用软件开发（医疗器械软件除外）和企业信息规划咨询服务外包于一体的高科技发展企业，广泛服务于能源化工、装备制造、汽车、房地产、医药食品、航空、金融保险等行业，有产业和政策调整的风险较小。</w:t>
                  </w:r>
                </w:p>
              </w:tc>
              <w:tc>
                <w:tcPr>
                  <w:tcW w:w="3226"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企业拟在其它类型的工作业务扩大做准备。</w:t>
                  </w:r>
                </w:p>
                <w:p>
                  <w:pPr>
                    <w:rPr>
                      <w:rFonts w:hint="eastAsia" w:ascii="Times New Roman" w:hAnsi="Times New Roman" w:eastAsia="宋体" w:cs="Times New Roman"/>
                    </w:rPr>
                  </w:pP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top"/>
                </w:tcPr>
                <w:p>
                  <w:pPr>
                    <w:rPr>
                      <w:rFonts w:hint="eastAsia" w:ascii="Times New Roman" w:hAnsi="Times New Roman" w:eastAsia="宋体" w:cs="Times New Roman"/>
                    </w:rPr>
                  </w:pPr>
                  <w:r>
                    <w:rPr>
                      <w:rFonts w:hint="eastAsia" w:ascii="Times New Roman" w:hAnsi="Times New Roman" w:eastAsia="宋体" w:cs="Times New Roman"/>
                    </w:rPr>
                    <w:t>技术风险</w:t>
                  </w:r>
                </w:p>
              </w:tc>
              <w:tc>
                <w:tcPr>
                  <w:tcW w:w="3226" w:type="dxa"/>
                  <w:vAlign w:val="top"/>
                </w:tcPr>
                <w:p>
                  <w:pPr>
                    <w:rPr>
                      <w:rFonts w:hint="eastAsia" w:ascii="Times New Roman" w:hAnsi="Times New Roman" w:eastAsia="宋体" w:cs="Times New Roman"/>
                    </w:rPr>
                  </w:pPr>
                  <w:r>
                    <w:rPr>
                      <w:rFonts w:hint="eastAsia" w:ascii="Times New Roman" w:hAnsi="Times New Roman" w:eastAsia="宋体" w:cs="Times New Roman"/>
                    </w:rPr>
                    <w:t>公司拟招聘经验丰富的技术服务人员，并不断组织人员到同行优秀企业学习，加大产品服务及后期作业工作能力的提升，不断提高我企业的行业竞争能力，规避相关技术风险</w:t>
                  </w:r>
                </w:p>
              </w:tc>
              <w:tc>
                <w:tcPr>
                  <w:tcW w:w="1717"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top"/>
                </w:tcPr>
                <w:p>
                  <w:pPr>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vAlign w:val="top"/>
                </w:tcPr>
                <w:p>
                  <w:pPr>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pPr>
                  <w:r>
                    <w:rPr>
                      <w:rFonts w:hint="eastAsia" w:hAnsi="宋体" w:cs="宋体"/>
                      <w:kern w:val="0"/>
                    </w:rPr>
                    <w:t>火灾事故发生次数为0</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91" w:type="dxa"/>
                  <w:shd w:val="clear" w:color="auto" w:fill="auto"/>
                  <w:vAlign w:val="top"/>
                </w:tcPr>
                <w:p>
                  <w:pPr>
                    <w:autoSpaceDE w:val="0"/>
                    <w:autoSpaceDN w:val="0"/>
                    <w:adjustRightInd w:val="0"/>
                    <w:rPr>
                      <w:rFonts w:hint="default"/>
                      <w:lang w:val="en-US"/>
                    </w:rPr>
                  </w:pPr>
                  <w:r>
                    <w:rPr>
                      <w:rFonts w:hint="eastAsia" w:hAnsi="宋体" w:cs="宋体"/>
                      <w:kern w:val="0"/>
                    </w:rPr>
                    <w:t>重大安全事故发生次数为0。</w:t>
                  </w:r>
                </w:p>
              </w:tc>
              <w:tc>
                <w:tcPr>
                  <w:tcW w:w="3136" w:type="dxa"/>
                  <w:shd w:val="clear" w:color="auto" w:fill="auto"/>
                  <w:vAlign w:val="center"/>
                </w:tcPr>
                <w:p>
                  <w:pPr>
                    <w:rPr>
                      <w:rFonts w:ascii="宋体" w:hAnsi="宋体"/>
                    </w:rPr>
                  </w:pPr>
                  <w:r>
                    <w:rPr>
                      <w:rFonts w:hint="eastAsia"/>
                      <w:lang w:val="en-US" w:eastAsia="zh-CN"/>
                    </w:rPr>
                    <w:t>运行控制</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255</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个；实验室个；</w:t>
            </w:r>
          </w:p>
          <w:p>
            <w:pPr>
              <w:rPr>
                <w:rFonts w:hint="eastAsia"/>
              </w:rPr>
            </w:pPr>
            <w:r>
              <w:rPr>
                <w:rFonts w:hint="eastAsia"/>
              </w:rPr>
              <w:t>主要生产设备有：</w:t>
            </w:r>
            <w:r>
              <w:rPr>
                <w:rFonts w:hint="eastAsia"/>
                <w:lang w:val="en-US" w:eastAsia="zh-CN"/>
              </w:rPr>
              <w:t>电脑、打印机、传真机</w:t>
            </w:r>
            <w:r>
              <w:rPr>
                <w:rFonts w:hint="eastAsia"/>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w:t>
            </w:r>
            <w:r>
              <w:rPr>
                <w:rFonts w:hint="eastAsia"/>
              </w:rPr>
              <w:sym w:font="Wingdings 2" w:char="0052"/>
            </w:r>
            <w:r>
              <w:rPr>
                <w:rFonts w:hint="eastAsia"/>
                <w:lang w:eastAsia="zh-CN"/>
              </w:rPr>
              <w:t>法律法规获取有遗漏，缺少：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  2021年11月20日进行了的演练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  2021年11月20日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  2021年12月10日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  2021年12月20日对组织的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bookmarkStart w:id="20" w:name="_GoBack"/>
            <w:bookmarkEnd w:id="20"/>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C590080"/>
    <w:rsid w:val="34777285"/>
    <w:rsid w:val="4AB844AC"/>
    <w:rsid w:val="79FB4F13"/>
    <w:rsid w:val="7BA76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2"/>
    <w:qFormat/>
    <w:uiPriority w:val="99"/>
    <w:rPr>
      <w:rFonts w:ascii="Times New Roman" w:hAnsi="Times New Roman" w:eastAsia="宋体" w:cs="Times New Roman"/>
      <w:sz w:val="18"/>
      <w:szCs w:val="18"/>
    </w:rPr>
  </w:style>
  <w:style w:type="character" w:customStyle="1" w:styleId="16">
    <w:name w:val="页脚 Char"/>
    <w:basedOn w:val="11"/>
    <w:link w:val="6"/>
    <w:qFormat/>
    <w:uiPriority w:val="99"/>
    <w:rPr>
      <w:rFonts w:ascii="Times New Roman" w:hAnsi="Times New Roman" w:eastAsia="宋体" w:cs="Times New Roman"/>
      <w:sz w:val="18"/>
      <w:szCs w:val="18"/>
    </w:rPr>
  </w:style>
  <w:style w:type="character" w:customStyle="1" w:styleId="17">
    <w:name w:val="批注框文本 Char"/>
    <w:basedOn w:val="11"/>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2022-01-08T06:51:49Z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