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1362-2021-QEO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恩施石力建材有限公司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2022年01月04日 上午至2022年01月04日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恩施市龙凤镇三河村、小龙潭村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2021-N1QMS-1274747</w:t>
            </w:r>
          </w:p>
          <w:p>
            <w:pPr>
              <w:spacing w:line="240" w:lineRule="exact"/>
              <w:jc w:val="center"/>
              <w:rPr>
                <w:b/>
                <w:color w:val="000000"/>
                <w:szCs w:val="21"/>
              </w:rPr>
            </w:pPr>
            <w:r>
              <w:rPr>
                <w:b/>
                <w:color w:val="000000"/>
                <w:szCs w:val="21"/>
              </w:rPr>
              <w:t>2021-N1EMS-1274747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恩施石力建材有限公司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湖北省恩施市龙凤镇建设路115号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445000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恩施市龙凤镇三河村、小龙潭村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445000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徐莹</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18971888876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王芝生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徐莹</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预拌混凝土的生产及销售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sz w:val="20"/>
              </w:rPr>
            </w:pPr>
            <w:r>
              <w:rPr>
                <w:rFonts w:hint="eastAsia"/>
                <w:sz w:val="20"/>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p>
            <w:pPr>
              <w:tabs>
                <w:tab w:val="left" w:pos="360"/>
              </w:tabs>
              <w:ind w:left="360" w:hanging="360"/>
              <w:rPr>
                <w:rFonts w:hint="eastAsia"/>
                <w:sz w:val="20"/>
              </w:rPr>
            </w:pPr>
            <w:r>
              <w:rPr>
                <w:rFonts w:hint="eastAsia" w:asciiTheme="minorEastAsia" w:hAnsiTheme="minorEastAsia" w:eastAsiaTheme="minorEastAsia" w:cstheme="minorEastAsia"/>
                <w:bCs/>
                <w:sz w:val="18"/>
                <w:szCs w:val="18"/>
              </w:rPr>
              <w:t>销售流程：顾客沟通—合同评审—合同/订单签订—产品采购—产品验证—交付—售后服务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预拌混凝土的生产及销售</w:t>
            </w:r>
          </w:p>
        </w:tc>
        <w:tc>
          <w:tcPr>
            <w:tcW w:w="2006" w:type="dxa"/>
            <w:gridSpan w:val="3"/>
            <w:vAlign w:val="center"/>
          </w:tcPr>
          <w:p>
            <w:pPr>
              <w:rPr>
                <w:rFonts w:ascii="宋体" w:hAnsi="宋体"/>
                <w:b/>
                <w:color w:val="000000"/>
                <w:szCs w:val="21"/>
              </w:rPr>
            </w:pPr>
            <w:r>
              <w:t>Q：16.02.03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预拌混凝土的生产及销售所涉及场所的相关环境管理活动</w:t>
            </w:r>
          </w:p>
        </w:tc>
        <w:tc>
          <w:tcPr>
            <w:tcW w:w="2006" w:type="dxa"/>
            <w:gridSpan w:val="3"/>
            <w:vAlign w:val="center"/>
          </w:tcPr>
          <w:p>
            <w:pPr>
              <w:rPr>
                <w:rFonts w:ascii="宋体" w:hAnsi="宋体"/>
                <w:b/>
                <w:color w:val="000000"/>
                <w:szCs w:val="21"/>
              </w:rPr>
            </w:pPr>
            <w:r>
              <w:t>E：16.02.03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预拌混凝土的生产及销售所涉及场所的相关职业健康安全管理活动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恩施石力建材有限公司</w:t>
            </w:r>
            <w:r>
              <w:rPr>
                <w:rFonts w:hint="eastAsia"/>
                <w:sz w:val="21"/>
                <w:szCs w:val="21"/>
                <w:lang w:val="en-US" w:eastAsia="zh-CN"/>
              </w:rPr>
              <w:t>/</w:t>
            </w:r>
            <w:r>
              <w:rPr>
                <w:sz w:val="21"/>
                <w:szCs w:val="21"/>
              </w:rPr>
              <w:t>湖北省恩施市龙凤镇建设路115号</w:t>
            </w:r>
          </w:p>
        </w:tc>
        <w:tc>
          <w:tcPr>
            <w:tcW w:w="2267" w:type="dxa"/>
          </w:tcPr>
          <w:p>
            <w:pPr>
              <w:spacing w:before="40" w:after="40"/>
              <w:rPr>
                <w:rFonts w:eastAsia="黑体"/>
                <w:szCs w:val="21"/>
                <w:lang w:val="de-DE" w:eastAsia="ja-JP"/>
              </w:rPr>
            </w:pPr>
            <w:r>
              <w:rPr>
                <w:sz w:val="21"/>
                <w:szCs w:val="21"/>
              </w:rPr>
              <w:t>恩施市龙凤镇三河村、小龙潭村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47人</w:t>
            </w:r>
          </w:p>
        </w:tc>
        <w:tc>
          <w:tcPr>
            <w:tcW w:w="2803" w:type="dxa"/>
            <w:vAlign w:val="center"/>
          </w:tcPr>
          <w:p>
            <w:bookmarkStart w:id="35" w:name="审核范围"/>
            <w:r>
              <w:t>Q：预拌混凝土的生产及销售</w:t>
            </w:r>
          </w:p>
          <w:p>
            <w:r>
              <w:t>E：预拌混凝土的生产及销售所涉及场所的相关环境管理活动</w:t>
            </w:r>
          </w:p>
          <w:p>
            <w:pPr>
              <w:pStyle w:val="19"/>
              <w:rPr>
                <w:rFonts w:eastAsia="黑体" w:cs="Arial"/>
                <w:sz w:val="21"/>
                <w:szCs w:val="21"/>
                <w:lang w:val="en-US" w:eastAsia="ja-JP"/>
              </w:rPr>
            </w:pPr>
            <w:r>
              <w:t>O：预拌混凝土的生产及销售所涉及场所的相关职业健康安全管理活动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 xml:space="preserve">GB/T24001-2016/ISO 14001:2015 </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rFonts w:hint="eastAsia" w:eastAsia="宋体"/>
                <w:szCs w:val="21"/>
                <w:lang w:eastAsia="zh-CN"/>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01</w:t>
            </w:r>
            <w:r>
              <w:rPr>
                <w:rFonts w:hint="eastAsia" w:ascii="宋体" w:hAnsi="宋体"/>
                <w:b/>
                <w:color w:val="000000"/>
                <w:szCs w:val="21"/>
                <w:u w:val="single"/>
              </w:rPr>
              <w:t>月</w:t>
            </w:r>
            <w:r>
              <w:rPr>
                <w:rFonts w:hint="eastAsia" w:ascii="宋体" w:hAnsi="宋体"/>
                <w:b/>
                <w:color w:val="000000"/>
                <w:szCs w:val="21"/>
                <w:u w:val="single"/>
                <w:lang w:val="en-US" w:eastAsia="zh-CN"/>
              </w:rPr>
              <w:t>08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7-8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w:t>
            </w:r>
            <w:r>
              <w:rPr>
                <w:rFonts w:hint="eastAsia" w:ascii="宋体"/>
                <w:color w:val="000000"/>
                <w:spacing w:val="-10"/>
                <w:szCs w:val="21"/>
                <w:lang w:val="en-US" w:eastAsia="zh-CN"/>
              </w:rPr>
              <w:t>处理</w:t>
            </w:r>
            <w:r>
              <w:rPr>
                <w:rFonts w:hint="eastAsia" w:ascii="宋体"/>
                <w:color w:val="000000"/>
                <w:spacing w:val="-10"/>
                <w:szCs w:val="21"/>
              </w:rPr>
              <w:t>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w:t>
            </w:r>
            <w:r>
              <w:rPr>
                <w:rFonts w:hint="eastAsia"/>
                <w:color w:val="000000"/>
                <w:szCs w:val="18"/>
                <w:lang w:val="en-US" w:eastAsia="zh-CN"/>
              </w:rPr>
              <w:t>职业病危害现状评价</w:t>
            </w:r>
            <w:r>
              <w:rPr>
                <w:rFonts w:hint="eastAsia"/>
                <w:color w:val="000000"/>
                <w:szCs w:val="18"/>
              </w:rPr>
              <w:t>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2022-01-</w:t>
            </w:r>
            <w:r>
              <w:rPr>
                <w:rFonts w:hint="eastAsia" w:ascii="宋体"/>
                <w:b/>
                <w:color w:val="000000"/>
                <w:szCs w:val="21"/>
                <w:lang w:eastAsia="zh-CN"/>
              </w:rPr>
              <w:t>（</w:t>
            </w:r>
            <w:r>
              <w:rPr>
                <w:rFonts w:hint="eastAsia" w:ascii="宋体"/>
                <w:b/>
                <w:color w:val="000000"/>
                <w:szCs w:val="21"/>
              </w:rPr>
              <w:t>0</w:t>
            </w:r>
            <w:bookmarkEnd w:id="36"/>
            <w:r>
              <w:rPr>
                <w:rFonts w:hint="eastAsia" w:ascii="宋体"/>
                <w:b/>
                <w:color w:val="000000"/>
                <w:szCs w:val="21"/>
                <w:lang w:val="en-US" w:eastAsia="zh-CN"/>
              </w:rPr>
              <w:t>5-07）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bookmarkStart w:id="37" w:name="_GoBack" w:colFirst="1" w:colLast="3"/>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预拌混凝土的生产及销售</w:t>
            </w:r>
          </w:p>
        </w:tc>
        <w:tc>
          <w:tcPr>
            <w:tcW w:w="1541" w:type="dxa"/>
            <w:vAlign w:val="center"/>
          </w:tcPr>
          <w:p>
            <w:pPr>
              <w:rPr>
                <w:rFonts w:ascii="宋体" w:hAnsi="宋体"/>
                <w:b/>
                <w:color w:val="000000"/>
                <w:szCs w:val="21"/>
              </w:rPr>
            </w:pPr>
            <w:r>
              <w:t>Q：16.02.03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预拌混凝土的生产及销售所涉及场所的相关环境管理活动</w:t>
            </w:r>
          </w:p>
        </w:tc>
        <w:tc>
          <w:tcPr>
            <w:tcW w:w="1541" w:type="dxa"/>
            <w:vAlign w:val="center"/>
          </w:tcPr>
          <w:p>
            <w:pPr>
              <w:rPr>
                <w:rFonts w:ascii="宋体" w:hAnsi="宋体"/>
                <w:b/>
                <w:color w:val="000000"/>
                <w:szCs w:val="21"/>
              </w:rPr>
            </w:pPr>
            <w:r>
              <w:t>E：16.02.03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预拌混凝土的生产及销售所涉及场所的相关职业健康安全管理活动</w:t>
            </w:r>
          </w:p>
        </w:tc>
        <w:tc>
          <w:tcPr>
            <w:tcW w:w="1541" w:type="dxa"/>
            <w:vAlign w:val="center"/>
          </w:tcPr>
          <w:p>
            <w:pPr>
              <w:spacing w:line="400" w:lineRule="exact"/>
              <w:rPr>
                <w:rFonts w:ascii="宋体" w:hAnsi="宋体"/>
                <w:b/>
                <w:color w:val="000000"/>
                <w:szCs w:val="21"/>
              </w:rPr>
            </w:pPr>
            <w:r>
              <w:t>O：16.02.03</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sz w:val="24"/>
          <w:szCs w:val="24"/>
        </w:rPr>
        <w:drawing>
          <wp:anchor distT="0" distB="0" distL="114300" distR="114300" simplePos="0" relativeHeight="251661312" behindDoc="0" locked="0" layoutInCell="1" allowOverlap="1">
            <wp:simplePos x="0" y="0"/>
            <wp:positionH relativeFrom="column">
              <wp:posOffset>4274185</wp:posOffset>
            </wp:positionH>
            <wp:positionV relativeFrom="paragraph">
              <wp:posOffset>337820</wp:posOffset>
            </wp:positionV>
            <wp:extent cx="623570" cy="415290"/>
            <wp:effectExtent l="0" t="0" r="5080" b="3810"/>
            <wp:wrapNone/>
            <wp:docPr id="2" name="图片 2"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e4eeca20526df0df2eeeaf8678048b"/>
                    <pic:cNvPicPr>
                      <a:picLocks noChangeAspect="1"/>
                    </pic:cNvPicPr>
                  </pic:nvPicPr>
                  <pic:blipFill>
                    <a:blip r:embed="rId6"/>
                    <a:stretch>
                      <a:fillRect/>
                    </a:stretch>
                  </pic:blipFill>
                  <pic:spPr>
                    <a:xfrm>
                      <a:off x="0" y="0"/>
                      <a:ext cx="623570" cy="4152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6"/>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6"/>
        <w:pBdr>
          <w:bottom w:val="none" w:color="auto" w:sz="0" w:space="0"/>
        </w:pBdr>
        <w:ind w:right="600"/>
        <w:jc w:val="both"/>
        <w:rPr>
          <w:rFonts w:eastAsia="隶书"/>
          <w:color w:val="000000"/>
          <w:sz w:val="24"/>
          <w:szCs w:val="24"/>
        </w:rPr>
      </w:pPr>
      <w:r>
        <w:rPr>
          <w:rFonts w:hint="eastAsia" w:eastAsia="隶书"/>
          <w:color w:val="000000"/>
          <w:sz w:val="24"/>
          <w:szCs w:val="24"/>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843"/>
        <w:gridCol w:w="148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63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48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631"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lang w:val="en-US" w:eastAsia="zh-CN"/>
              </w:rPr>
              <w:t>汽车维修房氧气瓶和乙炔瓶安全距离不足。</w:t>
            </w:r>
            <w:r>
              <w:rPr>
                <w:color w:val="000000"/>
                <w:sz w:val="21"/>
                <w:szCs w:val="21"/>
              </w:rPr>
              <w:drawing>
                <wp:inline distT="0" distB="0" distL="114300" distR="114300">
                  <wp:extent cx="895350" cy="671830"/>
                  <wp:effectExtent l="0" t="0" r="0" b="13970"/>
                  <wp:docPr id="3" name="图片 3" descr="61c86fdc21043f42d5285aa28f3d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c86fdc21043f42d5285aa28f3d0fd"/>
                          <pic:cNvPicPr>
                            <a:picLocks noChangeAspect="1"/>
                          </pic:cNvPicPr>
                        </pic:nvPicPr>
                        <pic:blipFill>
                          <a:blip r:embed="rId7"/>
                          <a:stretch>
                            <a:fillRect/>
                          </a:stretch>
                        </pic:blipFill>
                        <pic:spPr>
                          <a:xfrm>
                            <a:off x="0" y="0"/>
                            <a:ext cx="895350" cy="671830"/>
                          </a:xfrm>
                          <a:prstGeom prst="rect">
                            <a:avLst/>
                          </a:prstGeom>
                        </pic:spPr>
                      </pic:pic>
                    </a:graphicData>
                  </a:graphic>
                </wp:inline>
              </w:drawing>
            </w:r>
          </w:p>
        </w:tc>
        <w:tc>
          <w:tcPr>
            <w:tcW w:w="148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职业健康安全管理体系</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63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48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63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48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63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48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63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48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4257675</wp:posOffset>
                  </wp:positionH>
                  <wp:positionV relativeFrom="paragraph">
                    <wp:posOffset>175895</wp:posOffset>
                  </wp:positionV>
                  <wp:extent cx="1349375" cy="628015"/>
                  <wp:effectExtent l="0" t="0" r="3175" b="635"/>
                  <wp:wrapNone/>
                  <wp:docPr id="5" name="图片 5" descr="c629ddb20304d3a022036c2ff991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629ddb20304d3a022036c2ff991ca3"/>
                          <pic:cNvPicPr>
                            <a:picLocks noChangeAspect="1"/>
                          </pic:cNvPicPr>
                        </pic:nvPicPr>
                        <pic:blipFill>
                          <a:blip r:embed="rId8"/>
                          <a:stretch>
                            <a:fillRect/>
                          </a:stretch>
                        </pic:blipFill>
                        <pic:spPr>
                          <a:xfrm>
                            <a:off x="0" y="0"/>
                            <a:ext cx="1349375" cy="62801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eastAsia="宋体"/>
                <w:b/>
                <w:color w:val="000000"/>
                <w:szCs w:val="21"/>
                <w:lang w:eastAsia="zh-CN"/>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E600CC"/>
    <w:rsid w:val="12115D08"/>
    <w:rsid w:val="2885728B"/>
    <w:rsid w:val="413F1C4F"/>
    <w:rsid w:val="43480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7</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2022-01-10T09:00:35Z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