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1289-2021-QJEO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河北宏远电力建设有限公司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2022年01月0</w:t>
            </w:r>
            <w:r>
              <w:rPr>
                <w:rFonts w:hint="eastAsia" w:ascii="宋体"/>
                <w:b/>
                <w:color w:val="000000"/>
                <w:szCs w:val="21"/>
                <w:lang w:val="en-US" w:eastAsia="zh-CN"/>
              </w:rPr>
              <w:t>5</w:t>
            </w:r>
            <w:r>
              <w:rPr>
                <w:rFonts w:hint="eastAsia" w:ascii="宋体"/>
                <w:b/>
                <w:color w:val="000000"/>
                <w:szCs w:val="21"/>
              </w:rPr>
              <w:t>日 上午至2022年01月0</w:t>
            </w:r>
            <w:r>
              <w:rPr>
                <w:rFonts w:hint="eastAsia" w:ascii="宋体"/>
                <w:b/>
                <w:color w:val="000000"/>
                <w:szCs w:val="21"/>
                <w:lang w:val="en-US" w:eastAsia="zh-CN"/>
              </w:rPr>
              <w:t>5</w:t>
            </w:r>
            <w:r>
              <w:rPr>
                <w:rFonts w:hint="eastAsia" w:ascii="宋体"/>
                <w:b/>
                <w:color w:val="000000"/>
                <w:szCs w:val="21"/>
              </w:rPr>
              <w:t>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lang w:eastAsia="zh-CN"/>
              </w:rPr>
              <w:t>☑</w:t>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 50430-2017</w:t>
            </w:r>
            <w:bookmarkStart w:id="13" w:name="E勾选Add2"/>
            <w:r>
              <w:rPr>
                <w:rFonts w:hint="eastAsia" w:ascii="宋体" w:hAnsi="宋体"/>
                <w:b/>
                <w:color w:val="000000"/>
                <w:szCs w:val="21"/>
                <w:lang w:val="de-DE"/>
              </w:rPr>
              <w:t>■</w:t>
            </w:r>
            <w:bookmarkEnd w:id="13"/>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rPr>
                <w:rFonts w:ascii="宋体" w:hAnsi="宋体"/>
                <w:b/>
                <w:color w:val="000000"/>
                <w:szCs w:val="21"/>
                <w:lang w:val="de-DE"/>
              </w:rPr>
            </w:pPr>
            <w:bookmarkStart w:id="14" w:name="EnMS勾选Add2"/>
            <w:r>
              <w:rPr>
                <w:rFonts w:hint="eastAsia" w:ascii="宋体" w:hAnsi="宋体"/>
                <w:b/>
                <w:color w:val="000000"/>
                <w:szCs w:val="21"/>
                <w:lang w:val="de-DE"/>
              </w:rPr>
              <w:t>□</w:t>
            </w:r>
            <w:bookmarkEnd w:id="14"/>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5" w:name="F勾选Add2"/>
            <w:r>
              <w:rPr>
                <w:rFonts w:hint="eastAsia" w:ascii="宋体" w:hAnsi="宋体"/>
                <w:b/>
                <w:color w:val="000000"/>
                <w:szCs w:val="21"/>
                <w:lang w:val="de-DE"/>
              </w:rPr>
              <w:t>□</w:t>
            </w:r>
            <w:bookmarkEnd w:id="15"/>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6" w:name="H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河北省邯郸市丛台区联兴巷8号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hint="eastAsia"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w:t>
            </w:r>
          </w:p>
          <w:p>
            <w:pPr>
              <w:rPr>
                <w:rFonts w:ascii="宋体"/>
                <w:b/>
                <w:color w:val="0000FF"/>
                <w:szCs w:val="21"/>
              </w:rPr>
            </w:pPr>
            <w:r>
              <w:rPr>
                <w:rFonts w:hint="eastAsia" w:ascii="宋体"/>
                <w:b/>
                <w:color w:val="0000FF"/>
                <w:szCs w:val="21"/>
              </w:rPr>
              <w:t>□可穿戴技术□人工智能□其他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40"/>
        <w:gridCol w:w="207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940" w:type="dxa"/>
            <w:vAlign w:val="center"/>
          </w:tcPr>
          <w:p>
            <w:pPr>
              <w:spacing w:line="240" w:lineRule="exact"/>
              <w:jc w:val="center"/>
              <w:rPr>
                <w:b/>
                <w:color w:val="000000"/>
                <w:szCs w:val="21"/>
              </w:rPr>
            </w:pPr>
            <w:r>
              <w:rPr>
                <w:rFonts w:hint="eastAsia"/>
                <w:szCs w:val="21"/>
              </w:rPr>
              <w:t>审核员注册证书号</w:t>
            </w:r>
          </w:p>
        </w:tc>
        <w:tc>
          <w:tcPr>
            <w:tcW w:w="207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940"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2070" w:type="dxa"/>
            <w:vAlign w:val="center"/>
          </w:tcPr>
          <w:p>
            <w:pPr>
              <w:spacing w:line="240" w:lineRule="exact"/>
              <w:jc w:val="center"/>
              <w:rPr>
                <w:b/>
                <w:color w:val="000000"/>
                <w:szCs w:val="21"/>
              </w:rPr>
            </w:pPr>
            <w:r>
              <w:rPr>
                <w:b/>
                <w:color w:val="000000"/>
                <w:szCs w:val="21"/>
              </w:rPr>
              <w:t>EC:28.02.00,28.04.02,35.11.00</w:t>
            </w:r>
          </w:p>
          <w:p>
            <w:pPr>
              <w:spacing w:line="240" w:lineRule="exact"/>
              <w:jc w:val="center"/>
              <w:rPr>
                <w:b/>
                <w:color w:val="000000"/>
                <w:szCs w:val="21"/>
              </w:rPr>
            </w:pPr>
            <w:r>
              <w:rPr>
                <w:b/>
                <w:color w:val="000000"/>
                <w:szCs w:val="21"/>
              </w:rPr>
              <w:t>E:28.02.00,28.04.02</w:t>
            </w:r>
          </w:p>
          <w:p>
            <w:pPr>
              <w:spacing w:line="240" w:lineRule="exact"/>
              <w:jc w:val="center"/>
              <w:rPr>
                <w:b/>
                <w:color w:val="000000"/>
                <w:szCs w:val="21"/>
              </w:rPr>
            </w:pPr>
            <w:r>
              <w:rPr>
                <w:b/>
                <w:color w:val="000000"/>
                <w:szCs w:val="21"/>
              </w:rPr>
              <w:t>O:28.02.00,28.04.02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940" w:type="dxa"/>
            <w:vAlign w:val="center"/>
          </w:tcPr>
          <w:p>
            <w:pPr>
              <w:spacing w:line="240" w:lineRule="exact"/>
              <w:jc w:val="center"/>
              <w:rPr>
                <w:b/>
                <w:color w:val="000000"/>
                <w:szCs w:val="21"/>
              </w:rPr>
            </w:pPr>
            <w:r>
              <w:rPr>
                <w:b/>
                <w:color w:val="000000"/>
                <w:szCs w:val="21"/>
              </w:rPr>
              <w:t>2021-N1QMS-2222792</w:t>
            </w:r>
          </w:p>
          <w:p>
            <w:pPr>
              <w:spacing w:line="240" w:lineRule="exact"/>
              <w:jc w:val="center"/>
              <w:rPr>
                <w:b/>
                <w:color w:val="000000"/>
                <w:szCs w:val="21"/>
              </w:rPr>
            </w:pPr>
            <w:r>
              <w:rPr>
                <w:b/>
                <w:color w:val="000000"/>
                <w:szCs w:val="21"/>
              </w:rPr>
              <w:t>2021-N1EMS-2222792</w:t>
            </w:r>
          </w:p>
          <w:p>
            <w:pPr>
              <w:spacing w:line="240" w:lineRule="exact"/>
              <w:jc w:val="center"/>
              <w:rPr>
                <w:b/>
                <w:color w:val="000000"/>
                <w:szCs w:val="21"/>
              </w:rPr>
            </w:pPr>
            <w:r>
              <w:rPr>
                <w:b/>
                <w:color w:val="000000"/>
                <w:szCs w:val="21"/>
              </w:rPr>
              <w:t>2021-N1OHSMS-2222792</w:t>
            </w:r>
          </w:p>
        </w:tc>
        <w:tc>
          <w:tcPr>
            <w:tcW w:w="2070" w:type="dxa"/>
            <w:vAlign w:val="center"/>
          </w:tcPr>
          <w:p>
            <w:pPr>
              <w:spacing w:line="240" w:lineRule="exact"/>
              <w:jc w:val="center"/>
              <w:rPr>
                <w:b/>
                <w:color w:val="000000"/>
                <w:szCs w:val="21"/>
              </w:rPr>
            </w:pPr>
            <w:r>
              <w:rPr>
                <w:b/>
                <w:color w:val="000000"/>
                <w:szCs w:val="21"/>
              </w:rPr>
              <w:t>EC:28.02.00</w:t>
            </w:r>
          </w:p>
          <w:p>
            <w:pPr>
              <w:spacing w:line="240" w:lineRule="exact"/>
              <w:jc w:val="center"/>
              <w:rPr>
                <w:b/>
                <w:color w:val="000000"/>
                <w:szCs w:val="21"/>
              </w:rPr>
            </w:pPr>
            <w:r>
              <w:rPr>
                <w:b/>
                <w:color w:val="000000"/>
                <w:szCs w:val="21"/>
              </w:rPr>
              <w:t>E:28.02.00,28.04.02,35.11.00</w:t>
            </w:r>
          </w:p>
          <w:p>
            <w:pPr>
              <w:spacing w:line="240" w:lineRule="exact"/>
              <w:jc w:val="center"/>
              <w:rPr>
                <w:b/>
                <w:color w:val="000000"/>
                <w:szCs w:val="21"/>
              </w:rPr>
            </w:pPr>
            <w:r>
              <w:rPr>
                <w:b/>
                <w:color w:val="000000"/>
                <w:szCs w:val="21"/>
              </w:rPr>
              <w:t>O:28.02.00,28.04.02,35.11.00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940" w:type="dxa"/>
            <w:vAlign w:val="center"/>
          </w:tcPr>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070" w:type="dxa"/>
            <w:vAlign w:val="center"/>
          </w:tcPr>
          <w:p>
            <w:pPr>
              <w:spacing w:line="240" w:lineRule="exact"/>
              <w:jc w:val="center"/>
              <w:rPr>
                <w:b/>
                <w:color w:val="000000"/>
                <w:szCs w:val="21"/>
              </w:rPr>
            </w:pPr>
            <w:r>
              <w:rPr>
                <w:b/>
                <w:color w:val="000000"/>
                <w:szCs w:val="21"/>
              </w:rPr>
              <w:t>E:35.11.00</w:t>
            </w:r>
          </w:p>
          <w:p>
            <w:pPr>
              <w:spacing w:line="240" w:lineRule="exact"/>
              <w:jc w:val="center"/>
              <w:rPr>
                <w:b/>
                <w:color w:val="000000"/>
                <w:szCs w:val="21"/>
              </w:rPr>
            </w:pPr>
            <w:r>
              <w:rPr>
                <w:b/>
                <w:color w:val="000000"/>
                <w:szCs w:val="21"/>
              </w:rPr>
              <w:t>O:35.11.00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940" w:type="dxa"/>
            <w:vAlign w:val="center"/>
          </w:tcPr>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207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940" w:type="dxa"/>
            <w:vAlign w:val="center"/>
          </w:tcPr>
          <w:p>
            <w:pPr>
              <w:rPr>
                <w:b/>
                <w:color w:val="000000"/>
                <w:szCs w:val="21"/>
              </w:rPr>
            </w:pPr>
            <w:r>
              <w:rPr>
                <w:rFonts w:hint="eastAsia"/>
                <w:b/>
                <w:color w:val="000000"/>
                <w:szCs w:val="21"/>
              </w:rPr>
              <w:t>工作单位</w:t>
            </w:r>
          </w:p>
        </w:tc>
        <w:tc>
          <w:tcPr>
            <w:tcW w:w="315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940" w:type="dxa"/>
            <w:vAlign w:val="center"/>
          </w:tcPr>
          <w:p>
            <w:pPr>
              <w:rPr>
                <w:b/>
                <w:color w:val="000000"/>
                <w:szCs w:val="21"/>
              </w:rPr>
            </w:pPr>
          </w:p>
        </w:tc>
        <w:tc>
          <w:tcPr>
            <w:tcW w:w="315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440"/>
        <w:gridCol w:w="802"/>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河北宏远电力建设有限公司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河北省邯郸市丛台区联兴巷8号</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056002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生产地址"/>
            <w:bookmarkStart w:id="21" w:name="办公地址"/>
            <w:r>
              <w:rPr>
                <w:rFonts w:ascii="宋体"/>
                <w:b/>
                <w:color w:val="000000"/>
                <w:szCs w:val="21"/>
              </w:rPr>
              <w:t>河北省邯郸市丛台区联兴巷8号</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056002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闫晓英</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18103106687</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闫群英</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闫晓英</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r>
              <w:rPr>
                <w:sz w:val="21"/>
                <w:szCs w:val="21"/>
              </w:rPr>
              <w:t>资质范围内房屋建筑施工总承包、电力工程施工总承包、不分专业施工劳务服务、资质范围内的承装（修、试）电力设施服务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eastAsia" w:ascii="Times New Roman" w:hAnsi="Times New Roman" w:eastAsia="宋体" w:cs="Times New Roman"/>
                <w:b/>
                <w:sz w:val="20"/>
                <w:lang w:val="en-US" w:eastAsia="zh-CN"/>
              </w:rPr>
              <w:t>施工准备-材料设备进场-施工过程控制-分部分项工程验收-竣工预验收-竣工验收-工程交付-保修服务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485" w:type="dxa"/>
            <w:gridSpan w:val="4"/>
            <w:vAlign w:val="center"/>
          </w:tcPr>
          <w:p>
            <w:pPr>
              <w:spacing w:line="400" w:lineRule="exact"/>
              <w:rPr>
                <w:rFonts w:ascii="宋体" w:hAnsi="宋体"/>
                <w:b/>
                <w:color w:val="000000"/>
                <w:szCs w:val="21"/>
              </w:rPr>
            </w:pPr>
          </w:p>
        </w:tc>
        <w:tc>
          <w:tcPr>
            <w:tcW w:w="2573"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34" w:type="dxa"/>
            <w:vMerge w:val="continue"/>
            <w:vAlign w:val="center"/>
          </w:tcPr>
          <w:p>
            <w:pPr>
              <w:spacing w:line="400" w:lineRule="exact"/>
              <w:rPr>
                <w:szCs w:val="21"/>
              </w:rPr>
            </w:pPr>
          </w:p>
        </w:tc>
        <w:tc>
          <w:tcPr>
            <w:tcW w:w="6320" w:type="dxa"/>
            <w:gridSpan w:val="5"/>
            <w:vAlign w:val="center"/>
          </w:tcPr>
          <w:p>
            <w:pPr>
              <w:rPr>
                <w:sz w:val="21"/>
                <w:szCs w:val="21"/>
              </w:rPr>
            </w:pPr>
            <w:bookmarkStart w:id="28" w:name="审核范围"/>
            <w:r>
              <w:rPr>
                <w:sz w:val="21"/>
                <w:szCs w:val="21"/>
              </w:rPr>
              <w:t>EC：资质范围内房屋建筑施工总承包、电力工程施工总承包、不分专业施工劳务服务、资质范围内的承装（修、试）电力设施服务</w:t>
            </w:r>
          </w:p>
          <w:p>
            <w:pPr>
              <w:rPr>
                <w:sz w:val="21"/>
                <w:szCs w:val="21"/>
              </w:rPr>
            </w:pPr>
            <w:r>
              <w:rPr>
                <w:sz w:val="21"/>
                <w:szCs w:val="21"/>
              </w:rPr>
              <w:t>E：资质范围内房屋建筑施工总承包、电力工程施工总承包、不分专业施工劳务服务、资质范围内的承装（修、试）电力设施服务所涉及场所的相关环境管理活动</w:t>
            </w:r>
          </w:p>
          <w:p>
            <w:pPr>
              <w:spacing w:line="400" w:lineRule="exact"/>
              <w:rPr>
                <w:rFonts w:ascii="宋体" w:hAnsi="宋体"/>
                <w:b/>
                <w:color w:val="000000"/>
                <w:szCs w:val="21"/>
              </w:rPr>
            </w:pPr>
            <w:r>
              <w:rPr>
                <w:sz w:val="21"/>
                <w:szCs w:val="21"/>
              </w:rPr>
              <w:t>O：资质范围内房屋建筑施工总承包、电力工程施工总承包、不分专业施工劳务服务、资质范围内的承装（修、试）电力设施服务所涉及场所的相关职业健康安全管理活动</w:t>
            </w:r>
            <w:bookmarkEnd w:id="28"/>
          </w:p>
        </w:tc>
        <w:tc>
          <w:tcPr>
            <w:tcW w:w="2573" w:type="dxa"/>
            <w:gridSpan w:val="3"/>
            <w:vAlign w:val="center"/>
          </w:tcPr>
          <w:p>
            <w:pPr>
              <w:rPr>
                <w:sz w:val="21"/>
                <w:szCs w:val="21"/>
              </w:rPr>
            </w:pPr>
            <w:bookmarkStart w:id="29" w:name="专业代码"/>
            <w:r>
              <w:rPr>
                <w:sz w:val="21"/>
                <w:szCs w:val="21"/>
              </w:rPr>
              <w:t>EC：28.02.00;28.04.02;35.11.00</w:t>
            </w:r>
          </w:p>
          <w:p>
            <w:pPr>
              <w:rPr>
                <w:sz w:val="21"/>
                <w:szCs w:val="21"/>
              </w:rPr>
            </w:pPr>
            <w:r>
              <w:rPr>
                <w:sz w:val="21"/>
                <w:szCs w:val="21"/>
              </w:rPr>
              <w:t>E：28.02.00;28.04.02;35.11.00</w:t>
            </w:r>
          </w:p>
          <w:p>
            <w:pPr>
              <w:spacing w:line="400" w:lineRule="exact"/>
              <w:rPr>
                <w:rFonts w:ascii="宋体" w:hAnsi="宋体"/>
                <w:b/>
                <w:color w:val="000000"/>
                <w:szCs w:val="21"/>
              </w:rPr>
            </w:pPr>
            <w:r>
              <w:rPr>
                <w:sz w:val="21"/>
                <w:szCs w:val="21"/>
              </w:rPr>
              <w:t>O：28.02.00;28.04.02;35.11.00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485" w:type="dxa"/>
            <w:gridSpan w:val="4"/>
          </w:tcPr>
          <w:p>
            <w:pPr>
              <w:rPr>
                <w:rFonts w:ascii="宋体"/>
                <w:color w:val="000000"/>
                <w:szCs w:val="21"/>
              </w:rPr>
            </w:pPr>
            <w:r>
              <w:rPr>
                <w:rFonts w:hint="eastAsia" w:ascii="宋体" w:hAnsi="宋体"/>
                <w:color w:val="000000"/>
                <w:szCs w:val="21"/>
              </w:rPr>
              <w:t>现场产品与申请范围是否一致：</w:t>
            </w:r>
          </w:p>
        </w:tc>
        <w:tc>
          <w:tcPr>
            <w:tcW w:w="1555"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485"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555"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35"/>
        <w:gridCol w:w="1621"/>
        <w:gridCol w:w="670"/>
        <w:gridCol w:w="2409"/>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13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7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35" w:type="dxa"/>
          </w:tcPr>
          <w:p>
            <w:pPr>
              <w:spacing w:before="40" w:after="40"/>
              <w:rPr>
                <w:rFonts w:hint="eastAsia" w:eastAsia="黑体"/>
                <w:szCs w:val="21"/>
                <w:lang w:val="de-DE" w:eastAsia="ja-JP"/>
              </w:rPr>
            </w:pPr>
            <w:r>
              <w:rPr>
                <w:rFonts w:hint="eastAsia" w:eastAsia="黑体"/>
                <w:szCs w:val="21"/>
                <w:lang w:val="de-DE" w:eastAsia="ja-JP"/>
              </w:rPr>
              <w:t>河北宏远电力建设有限公司</w:t>
            </w:r>
          </w:p>
          <w:p>
            <w:pPr>
              <w:spacing w:before="40" w:after="40"/>
              <w:rPr>
                <w:rFonts w:eastAsia="黑体"/>
                <w:szCs w:val="21"/>
                <w:lang w:val="de-DE" w:eastAsia="ja-JP"/>
              </w:rPr>
            </w:pPr>
            <w:r>
              <w:rPr>
                <w:rFonts w:hint="eastAsia" w:eastAsia="黑体"/>
                <w:szCs w:val="21"/>
                <w:lang w:val="de-DE" w:eastAsia="ja-JP"/>
              </w:rPr>
              <w:t>河北省邯郸市丛台区联兴巷8号</w:t>
            </w:r>
          </w:p>
        </w:tc>
        <w:tc>
          <w:tcPr>
            <w:tcW w:w="1621" w:type="dxa"/>
          </w:tcPr>
          <w:p>
            <w:pPr>
              <w:spacing w:before="40" w:after="40"/>
              <w:rPr>
                <w:rFonts w:eastAsia="黑体"/>
                <w:szCs w:val="21"/>
                <w:lang w:val="de-DE" w:eastAsia="ja-JP"/>
              </w:rPr>
            </w:pPr>
            <w:r>
              <w:rPr>
                <w:rFonts w:hint="eastAsia" w:eastAsia="黑体"/>
                <w:szCs w:val="21"/>
                <w:lang w:val="de-DE" w:eastAsia="ja-JP"/>
              </w:rPr>
              <w:t>河北省邯郸市丛台区联兴巷8号</w:t>
            </w:r>
          </w:p>
        </w:tc>
        <w:tc>
          <w:tcPr>
            <w:tcW w:w="670" w:type="dxa"/>
            <w:vAlign w:val="center"/>
          </w:tcPr>
          <w:p>
            <w:pPr>
              <w:spacing w:before="40" w:after="40"/>
              <w:rPr>
                <w:rFonts w:hint="default" w:eastAsia="黑体"/>
                <w:szCs w:val="21"/>
                <w:lang w:val="en-US" w:eastAsia="zh-CN"/>
              </w:rPr>
            </w:pPr>
            <w:r>
              <w:rPr>
                <w:rFonts w:hint="eastAsia" w:eastAsia="黑体"/>
                <w:szCs w:val="21"/>
                <w:lang w:val="en-US" w:eastAsia="zh-CN"/>
              </w:rPr>
              <w:t>43</w:t>
            </w:r>
          </w:p>
        </w:tc>
        <w:tc>
          <w:tcPr>
            <w:tcW w:w="2409" w:type="dxa"/>
            <w:vAlign w:val="center"/>
          </w:tcPr>
          <w:p>
            <w:pPr>
              <w:pStyle w:val="19"/>
              <w:rPr>
                <w:rFonts w:eastAsia="黑体" w:cs="Arial"/>
                <w:sz w:val="21"/>
                <w:szCs w:val="21"/>
                <w:lang w:val="en-US" w:eastAsia="ja-JP"/>
              </w:rPr>
            </w:pPr>
            <w:r>
              <w:rPr>
                <w:sz w:val="21"/>
                <w:szCs w:val="21"/>
              </w:rPr>
              <w:t>资质范围内房屋建筑施工总承包、电力工程施工总承包、不分专业施工劳务服务、资质范围内的承装（修、试）电力设施服务</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10-12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楷体" w:hAnsi="楷体" w:eastAsia="楷体" w:cs="楷体"/>
                <w:szCs w:val="21"/>
                <w:u w:val="single"/>
              </w:rPr>
              <w:t>方案审批、设备安装、工程施工、机电安装、过程检验、竣工验收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Times New Roman" w:hAnsi="Times New Roman" w:eastAsia="宋体" w:cs="Times New Roman"/>
                <w:b/>
                <w:sz w:val="20"/>
                <w:lang w:val="en-US" w:eastAsia="zh-CN"/>
              </w:rPr>
              <w:t>电力设施维修、输变电设施安装、电力设施安装、商砼浇筑、电缆护管定向穿越、焊接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hint="eastAsia" w:ascii="宋体" w:hAnsi="宋体"/>
                <w:b/>
                <w:color w:val="000000"/>
                <w:sz w:val="20"/>
                <w:szCs w:val="20"/>
              </w:rPr>
            </w:pPr>
            <w:r>
              <w:rPr>
                <w:rFonts w:hint="eastAsia" w:ascii="宋体" w:hAnsi="宋体"/>
                <w:b/>
                <w:color w:val="000000"/>
                <w:sz w:val="20"/>
                <w:szCs w:val="20"/>
              </w:rPr>
              <w:t>其他：</w:t>
            </w:r>
          </w:p>
          <w:p>
            <w:pPr>
              <w:spacing w:line="360" w:lineRule="auto"/>
              <w:rPr>
                <w:rFonts w:hint="eastAsia" w:ascii="宋体" w:hAnsi="宋体"/>
                <w:b/>
                <w:color w:val="000000"/>
                <w:sz w:val="20"/>
                <w:szCs w:val="20"/>
              </w:rPr>
            </w:pP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p>
            <w:pPr>
              <w:rPr>
                <w:rFonts w:ascii="宋体"/>
                <w:color w:val="000000"/>
                <w:spacing w:val="-10"/>
                <w:szCs w:val="21"/>
              </w:rPr>
            </w:pPr>
          </w:p>
        </w:tc>
        <w:tc>
          <w:tcPr>
            <w:tcW w:w="8684" w:type="dxa"/>
            <w:gridSpan w:val="3"/>
            <w:shd w:val="clear" w:color="auto" w:fill="92D050"/>
          </w:tcPr>
          <w:p>
            <w:pPr>
              <w:rPr>
                <w:rFonts w:hint="eastAsia"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p>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hint="eastAsia" w:ascii="宋体"/>
                <w:color w:val="000000"/>
                <w:spacing w:val="-10"/>
                <w:szCs w:val="21"/>
              </w:rPr>
            </w:pPr>
            <w:r>
              <w:rPr>
                <w:rFonts w:hint="eastAsia" w:ascii="宋体"/>
                <w:color w:val="000000"/>
                <w:spacing w:val="-10"/>
                <w:szCs w:val="21"/>
              </w:rPr>
              <w:t>□安全和职业健康主管部门、□职业危害场所、□高风险作业场所，□危险化学品仓库，</w:t>
            </w:r>
          </w:p>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见多场所清单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0" w:name="二阶段审核日期"/>
            <w:r>
              <w:rPr>
                <w:rFonts w:hint="eastAsia" w:ascii="宋体"/>
                <w:b/>
                <w:color w:val="000000"/>
                <w:szCs w:val="21"/>
              </w:rPr>
              <w:t>2022-01-0</w:t>
            </w:r>
            <w:bookmarkEnd w:id="30"/>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31" w:name="_GoBack"/>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3231515</wp:posOffset>
            </wp:positionH>
            <wp:positionV relativeFrom="paragraph">
              <wp:posOffset>252730</wp:posOffset>
            </wp:positionV>
            <wp:extent cx="920115" cy="4432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20115" cy="443230"/>
                    </a:xfrm>
                    <a:prstGeom prst="rect">
                      <a:avLst/>
                    </a:prstGeom>
                  </pic:spPr>
                </pic:pic>
              </a:graphicData>
            </a:graphic>
          </wp:anchor>
        </w:drawing>
      </w:r>
      <w:bookmarkEnd w:id="31"/>
      <w:r>
        <w:drawing>
          <wp:anchor distT="0" distB="0" distL="114300" distR="114300" simplePos="0" relativeHeight="251661312" behindDoc="0" locked="0" layoutInCell="1" allowOverlap="1">
            <wp:simplePos x="0" y="0"/>
            <wp:positionH relativeFrom="column">
              <wp:posOffset>1853565</wp:posOffset>
            </wp:positionH>
            <wp:positionV relativeFrom="paragraph">
              <wp:posOffset>280035</wp:posOffset>
            </wp:positionV>
            <wp:extent cx="990600" cy="419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90600" cy="4191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481" w:firstLineChars="2600"/>
        <w:rPr>
          <w:rFonts w:hint="eastAsia" w:ascii="宋体" w:hAnsi="宋体"/>
          <w:b/>
          <w:color w:val="000000"/>
          <w:szCs w:val="21"/>
        </w:rPr>
      </w:pPr>
    </w:p>
    <w:p>
      <w:pPr>
        <w:ind w:firstLine="5481" w:firstLineChars="26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2022年1月5日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1026" o:spid="_x0000_s1026" o:spt="20" style="position:absolute;left:0pt;flip:y;margin-left:27.15pt;margin-top:28.65pt;height:156pt;width:446pt;z-index:251663360;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b/>
                <w:sz w:val="20"/>
                <w:lang w:eastAsia="zh-CN"/>
              </w:rPr>
              <w:drawing>
                <wp:anchor distT="0" distB="0" distL="114300" distR="114300" simplePos="0" relativeHeight="251665408" behindDoc="0" locked="0" layoutInCell="1" allowOverlap="1">
                  <wp:simplePos x="0" y="0"/>
                  <wp:positionH relativeFrom="column">
                    <wp:posOffset>1802765</wp:posOffset>
                  </wp:positionH>
                  <wp:positionV relativeFrom="paragraph">
                    <wp:posOffset>-3175</wp:posOffset>
                  </wp:positionV>
                  <wp:extent cx="920115" cy="443230"/>
                  <wp:effectExtent l="0" t="0" r="0" b="0"/>
                  <wp:wrapNone/>
                  <wp:docPr id="6" name="图片 6"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904151347"/>
                          <pic:cNvPicPr>
                            <a:picLocks noChangeAspect="1"/>
                          </pic:cNvPicPr>
                        </pic:nvPicPr>
                        <pic:blipFill>
                          <a:blip r:embed="rId6"/>
                          <a:stretch>
                            <a:fillRect/>
                          </a:stretch>
                        </pic:blipFill>
                        <pic:spPr>
                          <a:xfrm>
                            <a:off x="0" y="0"/>
                            <a:ext cx="920115" cy="443230"/>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672465</wp:posOffset>
                  </wp:positionH>
                  <wp:positionV relativeFrom="paragraph">
                    <wp:posOffset>43180</wp:posOffset>
                  </wp:positionV>
                  <wp:extent cx="990600" cy="4191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990600" cy="41910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6432" behindDoc="0" locked="0" layoutInCell="1" allowOverlap="1">
                  <wp:simplePos x="0" y="0"/>
                  <wp:positionH relativeFrom="column">
                    <wp:posOffset>1012825</wp:posOffset>
                  </wp:positionH>
                  <wp:positionV relativeFrom="paragraph">
                    <wp:posOffset>46990</wp:posOffset>
                  </wp:positionV>
                  <wp:extent cx="665480" cy="426085"/>
                  <wp:effectExtent l="0" t="0" r="7620" b="5715"/>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665480" cy="42608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sz w:val="20"/>
                <w:lang w:eastAsia="zh-CN"/>
              </w:rPr>
              <w:drawing>
                <wp:anchor distT="0" distB="0" distL="114300" distR="114300" simplePos="0" relativeHeight="251668480" behindDoc="0" locked="0" layoutInCell="1" allowOverlap="1">
                  <wp:simplePos x="0" y="0"/>
                  <wp:positionH relativeFrom="column">
                    <wp:posOffset>1758315</wp:posOffset>
                  </wp:positionH>
                  <wp:positionV relativeFrom="paragraph">
                    <wp:posOffset>15875</wp:posOffset>
                  </wp:positionV>
                  <wp:extent cx="920115" cy="443230"/>
                  <wp:effectExtent l="0" t="0" r="0" b="0"/>
                  <wp:wrapNone/>
                  <wp:docPr id="9" name="图片 9"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190904151347"/>
                          <pic:cNvPicPr>
                            <a:picLocks noChangeAspect="1"/>
                          </pic:cNvPicPr>
                        </pic:nvPicPr>
                        <pic:blipFill>
                          <a:blip r:embed="rId6"/>
                          <a:stretch>
                            <a:fillRect/>
                          </a:stretch>
                        </pic:blipFill>
                        <pic:spPr>
                          <a:xfrm>
                            <a:off x="0" y="0"/>
                            <a:ext cx="920115" cy="443230"/>
                          </a:xfrm>
                          <a:prstGeom prst="rect">
                            <a:avLst/>
                          </a:prstGeom>
                        </pic:spPr>
                      </pic:pic>
                    </a:graphicData>
                  </a:graphic>
                </wp:anchor>
              </w:drawing>
            </w:r>
            <w:r>
              <w:drawing>
                <wp:anchor distT="0" distB="0" distL="114300" distR="114300" simplePos="0" relativeHeight="251667456" behindDoc="0" locked="0" layoutInCell="1" allowOverlap="1">
                  <wp:simplePos x="0" y="0"/>
                  <wp:positionH relativeFrom="column">
                    <wp:posOffset>589915</wp:posOffset>
                  </wp:positionH>
                  <wp:positionV relativeFrom="paragraph">
                    <wp:posOffset>81280</wp:posOffset>
                  </wp:positionV>
                  <wp:extent cx="990600" cy="4191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990600" cy="419100"/>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1AB2E31"/>
    <w:rsid w:val="1513185B"/>
    <w:rsid w:val="1F4D3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2022-02-25T10:28:48Z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