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rPr>
          <w:rFonts w:hint="eastAsia"/>
        </w:rPr>
        <w:drawing>
          <wp:anchor distT="0" distB="0" distL="114300" distR="114300" simplePos="0" relativeHeight="251659264" behindDoc="0" locked="0" layoutInCell="1" allowOverlap="1">
            <wp:simplePos x="0" y="0"/>
            <wp:positionH relativeFrom="column">
              <wp:posOffset>1898650</wp:posOffset>
            </wp:positionH>
            <wp:positionV relativeFrom="paragraph">
              <wp:posOffset>17780</wp:posOffset>
            </wp:positionV>
            <wp:extent cx="1590675" cy="1590675"/>
            <wp:effectExtent l="0" t="0" r="9525" b="9525"/>
            <wp:wrapNone/>
            <wp:docPr id="5" name="图片 3" descr="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新LOGO"/>
                    <pic:cNvPicPr>
                      <a:picLocks noChangeAspect="1"/>
                    </pic:cNvPicPr>
                  </pic:nvPicPr>
                  <pic:blipFill>
                    <a:blip r:embed="rId5"/>
                    <a:stretch>
                      <a:fillRect/>
                    </a:stretch>
                  </pic:blipFill>
                  <pic:spPr>
                    <a:xfrm>
                      <a:off x="0" y="0"/>
                      <a:ext cx="1590675" cy="1590675"/>
                    </a:xfrm>
                    <a:prstGeom prst="rect">
                      <a:avLst/>
                    </a:prstGeom>
                    <a:noFill/>
                    <a:ln>
                      <a:noFill/>
                    </a:ln>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ind w:firstLine="960" w:firstLineChars="300"/>
        <w:jc w:val="left"/>
        <w:rPr>
          <w:rFonts w:hint="eastAsia" w:ascii="宋体" w:hAnsi="宋体" w:eastAsiaTheme="minorEastAsia"/>
          <w:b w:val="0"/>
          <w:bCs w:val="0"/>
          <w:sz w:val="24"/>
          <w:szCs w:val="24"/>
          <w:u w:val="single"/>
          <w:lang w:eastAsia="zh-CN"/>
        </w:rPr>
      </w:pPr>
      <w:r>
        <w:rPr>
          <w:rFonts w:hint="eastAsia" w:ascii="宋体" w:hAnsi="宋体"/>
          <w:sz w:val="32"/>
        </w:rPr>
        <w:t>认 证 企 业</w:t>
      </w:r>
      <w:r>
        <w:rPr>
          <w:rFonts w:hint="eastAsia" w:ascii="MS PGothic" w:hAnsi="MS PGothic"/>
          <w:sz w:val="32"/>
        </w:rPr>
        <w:t>：</w:t>
      </w:r>
      <w:r>
        <w:rPr>
          <w:rFonts w:hint="eastAsia" w:ascii="宋体" w:hAnsi="宋体"/>
          <w:b w:val="0"/>
          <w:bCs w:val="0"/>
          <w:sz w:val="24"/>
          <w:szCs w:val="24"/>
          <w:u w:val="single"/>
          <w:lang w:eastAsia="zh-CN"/>
        </w:rPr>
        <w:t>东营市久诺尔石油设备有限公司</w:t>
      </w:r>
    </w:p>
    <w:p>
      <w:pPr>
        <w:spacing w:line="360" w:lineRule="auto"/>
        <w:ind w:firstLine="960" w:firstLineChars="200"/>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1" w:name="合同编号"/>
      <w:r>
        <w:rPr>
          <w:rFonts w:hint="eastAsia" w:ascii="宋体" w:hAnsi="宋体"/>
          <w:sz w:val="32"/>
          <w:u w:val="single"/>
          <w:lang w:val="en-US" w:eastAsia="zh-CN"/>
        </w:rPr>
        <w:t>0009</w:t>
      </w:r>
      <w:r>
        <w:rPr>
          <w:rFonts w:hint="eastAsia" w:ascii="宋体" w:hAnsi="宋体"/>
          <w:sz w:val="32"/>
          <w:u w:val="single"/>
        </w:rPr>
        <w:t>-2</w:t>
      </w:r>
      <w:r>
        <w:rPr>
          <w:rFonts w:hint="eastAsia" w:ascii="宋体" w:hAnsi="宋体"/>
          <w:sz w:val="32"/>
          <w:u w:val="single"/>
          <w:lang w:val="en-US" w:eastAsia="zh-CN"/>
        </w:rPr>
        <w:t>020</w:t>
      </w:r>
      <w:r>
        <w:rPr>
          <w:rFonts w:hint="eastAsia" w:ascii="宋体" w:hAnsi="宋体"/>
          <w:sz w:val="32"/>
          <w:u w:val="single"/>
        </w:rPr>
        <w:t>-2021</w:t>
      </w:r>
      <w:bookmarkEnd w:id="1"/>
    </w:p>
    <w:p>
      <w:pPr>
        <w:spacing w:line="360" w:lineRule="auto"/>
        <w:ind w:firstLine="960" w:firstLineChars="200"/>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009</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r>
        <w:rPr>
          <w:rFonts w:ascii="Times New Roman" w:hAnsi="Times New Roman" w:eastAsia="宋体" w:cs="Times New Roman"/>
          <w:bCs/>
          <w:kern w:val="0"/>
          <w:sz w:val="18"/>
          <w:szCs w:val="18"/>
          <w:u w:val="single"/>
        </w:rPr>
        <w:t>-2021</w:t>
      </w:r>
      <w:bookmarkEnd w:id="2"/>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3825"/>
        <w:gridCol w:w="1800"/>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5"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bCs/>
                <w:kern w:val="0"/>
                <w:sz w:val="21"/>
                <w:szCs w:val="21"/>
              </w:rPr>
              <w:t>企业</w:t>
            </w:r>
            <w:r>
              <w:rPr>
                <w:rFonts w:cs="宋体" w:asciiTheme="minorEastAsia" w:hAnsiTheme="minorEastAsia"/>
                <w:kern w:val="0"/>
                <w:sz w:val="21"/>
                <w:szCs w:val="21"/>
              </w:rPr>
              <w:t>名称</w:t>
            </w:r>
          </w:p>
        </w:tc>
        <w:tc>
          <w:tcPr>
            <w:tcW w:w="3825" w:type="dxa"/>
            <w:vAlign w:val="center"/>
          </w:tcPr>
          <w:p>
            <w:pPr>
              <w:tabs>
                <w:tab w:val="left" w:pos="880"/>
              </w:tabs>
              <w:autoSpaceDE w:val="0"/>
              <w:autoSpaceDN w:val="0"/>
              <w:adjustRightInd w:val="0"/>
              <w:spacing w:before="35" w:line="360" w:lineRule="exact"/>
              <w:ind w:right="161"/>
              <w:rPr>
                <w:rFonts w:hint="eastAsia" w:cs="宋体" w:asciiTheme="minorEastAsia" w:hAnsiTheme="minorEastAsia" w:eastAsiaTheme="minorEastAsia"/>
                <w:kern w:val="0"/>
                <w:sz w:val="21"/>
                <w:szCs w:val="21"/>
                <w:lang w:eastAsia="zh-CN"/>
              </w:rPr>
            </w:pPr>
            <w:r>
              <w:rPr>
                <w:rFonts w:hint="eastAsia" w:ascii="Times New Roman" w:hAnsi="Times New Roman" w:eastAsia="宋体" w:cs="Times New Roman"/>
                <w:color w:val="000000"/>
                <w:sz w:val="21"/>
                <w:szCs w:val="21"/>
                <w:lang w:eastAsia="zh-CN"/>
              </w:rPr>
              <w:t>东营市久诺尔石油设备有限公司</w:t>
            </w:r>
          </w:p>
        </w:tc>
        <w:tc>
          <w:tcPr>
            <w:tcW w:w="1800"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企业联系人</w:t>
            </w:r>
          </w:p>
        </w:tc>
        <w:tc>
          <w:tcPr>
            <w:tcW w:w="2069" w:type="dxa"/>
            <w:vAlign w:val="center"/>
          </w:tcPr>
          <w:p>
            <w:pPr>
              <w:tabs>
                <w:tab w:val="left" w:pos="880"/>
              </w:tabs>
              <w:autoSpaceDE w:val="0"/>
              <w:autoSpaceDN w:val="0"/>
              <w:adjustRightInd w:val="0"/>
              <w:spacing w:before="35" w:line="360" w:lineRule="exact"/>
              <w:ind w:right="161"/>
              <w:jc w:val="both"/>
              <w:rPr>
                <w:rFonts w:hint="eastAsia" w:cs="宋体" w:asciiTheme="minorEastAsia" w:hAnsiTheme="minorEastAsia" w:eastAsiaTheme="minorEastAsia"/>
                <w:kern w:val="0"/>
                <w:sz w:val="21"/>
                <w:szCs w:val="21"/>
                <w:lang w:val="en-US" w:eastAsia="zh-CN"/>
              </w:rPr>
            </w:pPr>
            <w:bookmarkStart w:id="3" w:name="联系人"/>
            <w:r>
              <w:rPr>
                <w:color w:val="000000"/>
                <w:szCs w:val="21"/>
              </w:rPr>
              <w:t>孙振英</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875"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认证证书编号</w:t>
            </w:r>
          </w:p>
        </w:tc>
        <w:tc>
          <w:tcPr>
            <w:tcW w:w="3825" w:type="dxa"/>
            <w:vAlign w:val="top"/>
          </w:tcPr>
          <w:p>
            <w:pPr>
              <w:tabs>
                <w:tab w:val="left" w:pos="880"/>
              </w:tabs>
              <w:autoSpaceDE w:val="0"/>
              <w:autoSpaceDN w:val="0"/>
              <w:adjustRightInd w:val="0"/>
              <w:spacing w:before="35" w:line="276" w:lineRule="auto"/>
              <w:ind w:right="161" w:rightChars="0" w:firstLine="420" w:firstLineChars="200"/>
              <w:rPr>
                <w:rFonts w:hint="default" w:asciiTheme="minorEastAsia" w:hAnsiTheme="minorEastAsia" w:eastAsiaTheme="minorEastAsia"/>
                <w:sz w:val="21"/>
                <w:szCs w:val="21"/>
                <w:highlight w:val="none"/>
                <w:lang w:val="en-US" w:eastAsia="zh-CN"/>
              </w:rPr>
            </w:pPr>
            <w:r>
              <w:rPr>
                <w:rFonts w:hint="eastAsia" w:ascii="宋体" w:hAnsi="宋体" w:cs="宋体"/>
                <w:kern w:val="0"/>
                <w:szCs w:val="21"/>
                <w:shd w:val="clear" w:color="auto" w:fill="auto"/>
                <w:lang w:val="en-US" w:eastAsia="zh-CN"/>
              </w:rPr>
              <w:t>ISC-2020-0631</w:t>
            </w:r>
          </w:p>
        </w:tc>
        <w:tc>
          <w:tcPr>
            <w:tcW w:w="1800"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 w:val="21"/>
                <w:szCs w:val="21"/>
                <w:highlight w:val="none"/>
              </w:rPr>
            </w:pPr>
            <w:r>
              <w:rPr>
                <w:rFonts w:hint="eastAsia" w:ascii="宋体" w:hAnsi="宋体" w:cs="宋体"/>
                <w:kern w:val="0"/>
                <w:szCs w:val="21"/>
              </w:rPr>
              <w:t>证书有效期</w:t>
            </w:r>
          </w:p>
        </w:tc>
        <w:tc>
          <w:tcPr>
            <w:tcW w:w="2069" w:type="dxa"/>
            <w:vAlign w:val="top"/>
          </w:tcPr>
          <w:p>
            <w:pPr>
              <w:tabs>
                <w:tab w:val="left" w:pos="880"/>
              </w:tabs>
              <w:autoSpaceDE w:val="0"/>
              <w:autoSpaceDN w:val="0"/>
              <w:adjustRightInd w:val="0"/>
              <w:spacing w:before="35" w:line="360" w:lineRule="auto"/>
              <w:ind w:right="161" w:rightChars="0"/>
              <w:rPr>
                <w:rFonts w:hint="default" w:cs="宋体" w:asciiTheme="minorEastAsia" w:hAnsiTheme="minorEastAsia"/>
                <w:kern w:val="0"/>
                <w:sz w:val="21"/>
                <w:szCs w:val="21"/>
                <w:highlight w:val="red"/>
                <w:lang w:val="en-US"/>
              </w:rPr>
            </w:pPr>
            <w:r>
              <w:rPr>
                <w:rFonts w:hint="eastAsia" w:ascii="宋体" w:hAnsi="宋体" w:cs="宋体"/>
                <w:kern w:val="0"/>
                <w:szCs w:val="21"/>
                <w:shd w:val="clear" w:color="auto" w:fill="auto"/>
                <w:lang w:val="en-US" w:eastAsia="zh-CN"/>
              </w:rPr>
              <w:t>2025.1.16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监督审核次数</w:t>
            </w:r>
          </w:p>
        </w:tc>
        <w:tc>
          <w:tcPr>
            <w:tcW w:w="3825" w:type="dxa"/>
            <w:vAlign w:val="center"/>
          </w:tcPr>
          <w:p>
            <w:pPr>
              <w:spacing w:line="360" w:lineRule="exact"/>
              <w:jc w:val="both"/>
              <w:rPr>
                <w:sz w:val="21"/>
                <w:szCs w:val="21"/>
              </w:rPr>
            </w:pPr>
            <w:r>
              <w:rPr>
                <w:rFonts w:hint="eastAsia"/>
                <w:sz w:val="21"/>
                <w:szCs w:val="21"/>
              </w:rPr>
              <w:t>第</w:t>
            </w:r>
            <w:r>
              <w:rPr>
                <w:rFonts w:hint="eastAsia"/>
                <w:sz w:val="21"/>
                <w:szCs w:val="21"/>
                <w:lang w:val="en-US" w:eastAsia="zh-CN"/>
              </w:rPr>
              <w:t>2</w:t>
            </w:r>
            <w:r>
              <w:rPr>
                <w:rFonts w:hint="eastAsia"/>
                <w:sz w:val="21"/>
                <w:szCs w:val="21"/>
              </w:rPr>
              <w:t>次监督审核</w:t>
            </w:r>
          </w:p>
        </w:tc>
        <w:tc>
          <w:tcPr>
            <w:tcW w:w="1800"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kern w:val="0"/>
                <w:sz w:val="21"/>
                <w:szCs w:val="21"/>
              </w:rPr>
              <w:t>本次监督</w:t>
            </w:r>
          </w:p>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cs="宋体" w:asciiTheme="minorEastAsia" w:hAnsiTheme="minorEastAsia"/>
                <w:color w:val="333333"/>
                <w:kern w:val="0"/>
                <w:sz w:val="21"/>
                <w:szCs w:val="21"/>
              </w:rPr>
              <w:t>时间</w:t>
            </w:r>
          </w:p>
        </w:tc>
        <w:tc>
          <w:tcPr>
            <w:tcW w:w="2069" w:type="dxa"/>
            <w:vAlign w:val="center"/>
          </w:tcPr>
          <w:p>
            <w:pPr>
              <w:tabs>
                <w:tab w:val="left" w:pos="880"/>
              </w:tabs>
              <w:autoSpaceDE w:val="0"/>
              <w:autoSpaceDN w:val="0"/>
              <w:adjustRightInd w:val="0"/>
              <w:spacing w:before="35" w:line="360" w:lineRule="exact"/>
              <w:ind w:right="161"/>
              <w:jc w:val="both"/>
              <w:rPr>
                <w:rFonts w:hint="eastAsia" w:cs="宋体" w:asciiTheme="minorEastAsia" w:hAnsiTheme="minorEastAsia" w:eastAsiaTheme="minorEastAsia"/>
                <w:kern w:val="0"/>
                <w:sz w:val="21"/>
                <w:szCs w:val="21"/>
                <w:lang w:eastAsia="zh-CN"/>
              </w:rPr>
            </w:pPr>
            <w:r>
              <w:rPr>
                <w:rFonts w:hint="eastAsia" w:cs="宋体" w:asciiTheme="minorEastAsia" w:hAnsiTheme="minorEastAsia"/>
                <w:kern w:val="0"/>
                <w:sz w:val="21"/>
                <w:szCs w:val="21"/>
              </w:rPr>
              <w:t>20</w:t>
            </w:r>
            <w:r>
              <w:rPr>
                <w:rFonts w:cs="宋体" w:asciiTheme="minorEastAsia" w:hAnsiTheme="minorEastAsia"/>
                <w:kern w:val="0"/>
                <w:sz w:val="21"/>
                <w:szCs w:val="21"/>
              </w:rPr>
              <w:t>2</w:t>
            </w:r>
            <w:r>
              <w:rPr>
                <w:rFonts w:hint="eastAsia" w:cs="宋体" w:asciiTheme="minorEastAsia" w:hAnsiTheme="minorEastAsia"/>
                <w:kern w:val="0"/>
                <w:sz w:val="21"/>
                <w:szCs w:val="21"/>
                <w:lang w:val="en-US" w:eastAsia="zh-CN"/>
              </w:rPr>
              <w:t>1</w:t>
            </w:r>
            <w:r>
              <w:rPr>
                <w:rFonts w:hint="eastAsia" w:cs="宋体" w:asciiTheme="minorEastAsia" w:hAnsiTheme="minorEastAsia"/>
                <w:kern w:val="0"/>
                <w:sz w:val="21"/>
                <w:szCs w:val="21"/>
              </w:rPr>
              <w:t>年</w:t>
            </w:r>
            <w:r>
              <w:rPr>
                <w:rFonts w:hint="eastAsia" w:cs="宋体" w:asciiTheme="minorEastAsia" w:hAnsiTheme="minorEastAsia"/>
                <w:kern w:val="0"/>
                <w:sz w:val="21"/>
                <w:szCs w:val="21"/>
                <w:lang w:val="en-US" w:eastAsia="zh-CN"/>
              </w:rPr>
              <w:t>12</w:t>
            </w:r>
            <w:r>
              <w:rPr>
                <w:rFonts w:hint="eastAsia" w:cs="宋体" w:asciiTheme="minorEastAsia" w:hAnsiTheme="minorEastAsia"/>
                <w:kern w:val="0"/>
                <w:sz w:val="21"/>
                <w:szCs w:val="21"/>
              </w:rPr>
              <w:t>月</w:t>
            </w:r>
            <w:r>
              <w:rPr>
                <w:rFonts w:hint="eastAsia" w:cs="宋体" w:asciiTheme="minorEastAsia" w:hAnsiTheme="minorEastAsia"/>
                <w:kern w:val="0"/>
                <w:sz w:val="21"/>
                <w:szCs w:val="21"/>
                <w:lang w:val="en-US" w:eastAsia="zh-CN"/>
              </w:rPr>
              <w:t>29日下午-30</w:t>
            </w:r>
            <w:r>
              <w:rPr>
                <w:rFonts w:hint="eastAsia" w:cs="宋体" w:asciiTheme="minorEastAsia" w:hAnsiTheme="minorEastAsia"/>
                <w:kern w:val="0"/>
                <w:sz w:val="21"/>
                <w:szCs w:val="21"/>
              </w:rPr>
              <w:t>日</w:t>
            </w:r>
            <w:r>
              <w:rPr>
                <w:rFonts w:hint="eastAsia" w:cs="宋体" w:asciiTheme="minorEastAsia" w:hAnsiTheme="minorEastAsia"/>
                <w:kern w:val="0"/>
                <w:sz w:val="21"/>
                <w:szCs w:val="21"/>
                <w:lang w:eastAsia="zh-CN"/>
              </w:rPr>
              <w:t>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875" w:type="dxa"/>
            <w:vAlign w:val="center"/>
          </w:tcPr>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监督审核员</w:t>
            </w:r>
          </w:p>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姓名及确认号</w:t>
            </w:r>
          </w:p>
        </w:tc>
        <w:tc>
          <w:tcPr>
            <w:tcW w:w="3825" w:type="dxa"/>
            <w:vAlign w:val="center"/>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tabs>
                <w:tab w:val="left" w:pos="880"/>
              </w:tabs>
              <w:autoSpaceDE w:val="0"/>
              <w:autoSpaceDN w:val="0"/>
              <w:adjustRightInd w:val="0"/>
              <w:spacing w:before="35" w:line="320" w:lineRule="exact"/>
              <w:ind w:left="630" w:right="161" w:hanging="630" w:hangingChars="300"/>
              <w:jc w:val="left"/>
              <w:rPr>
                <w:rFonts w:cs="宋体" w:asciiTheme="minorEastAsia" w:hAnsiTheme="minorEastAsia"/>
                <w:kern w:val="0"/>
                <w:sz w:val="21"/>
                <w:szCs w:val="21"/>
              </w:rPr>
            </w:pPr>
          </w:p>
        </w:tc>
        <w:tc>
          <w:tcPr>
            <w:tcW w:w="1800" w:type="dxa"/>
            <w:vAlign w:val="center"/>
          </w:tcPr>
          <w:p>
            <w:pPr>
              <w:tabs>
                <w:tab w:val="left" w:pos="880"/>
              </w:tabs>
              <w:autoSpaceDE w:val="0"/>
              <w:autoSpaceDN w:val="0"/>
              <w:adjustRightInd w:val="0"/>
              <w:spacing w:before="35" w:line="320" w:lineRule="exact"/>
              <w:ind w:right="161"/>
              <w:jc w:val="center"/>
              <w:rPr>
                <w:rFonts w:cs="宋体" w:asciiTheme="minorEastAsia" w:hAnsiTheme="minorEastAsia"/>
                <w:kern w:val="0"/>
                <w:sz w:val="21"/>
                <w:szCs w:val="21"/>
              </w:rPr>
            </w:pPr>
            <w:r>
              <w:rPr>
                <w:rFonts w:cs="宋体" w:asciiTheme="minorEastAsia" w:hAnsiTheme="minorEastAsia"/>
                <w:bCs/>
                <w:kern w:val="0"/>
                <w:sz w:val="21"/>
                <w:szCs w:val="21"/>
              </w:rPr>
              <w:t>监督审核涉及的区域或部门</w:t>
            </w:r>
          </w:p>
        </w:tc>
        <w:tc>
          <w:tcPr>
            <w:tcW w:w="2069" w:type="dxa"/>
            <w:vAlign w:val="center"/>
          </w:tcPr>
          <w:p>
            <w:pPr>
              <w:jc w:val="center"/>
              <w:rPr>
                <w:rFonts w:hint="eastAsia" w:ascii="宋体" w:hAnsi="宋体" w:cs="宋体" w:eastAsiaTheme="minorEastAsia"/>
                <w:bCs/>
                <w:szCs w:val="21"/>
                <w:lang w:eastAsia="zh-CN"/>
              </w:rPr>
            </w:pPr>
            <w:r>
              <w:rPr>
                <w:rFonts w:hint="eastAsia" w:ascii="宋体" w:hAnsi="宋体" w:eastAsia="宋体" w:cs="宋体"/>
                <w:bCs/>
                <w:sz w:val="21"/>
                <w:szCs w:val="21"/>
                <w:lang w:val="en-US" w:eastAsia="zh-CN"/>
              </w:rPr>
              <w:t xml:space="preserve"> </w:t>
            </w:r>
            <w:r>
              <w:rPr>
                <w:rFonts w:hint="eastAsia"/>
                <w:sz w:val="21"/>
                <w:szCs w:val="21"/>
                <w:lang w:val="en-US" w:eastAsia="zh-CN"/>
              </w:rPr>
              <w:t>质量技术部、生产部</w:t>
            </w:r>
            <w:r>
              <w:rPr>
                <w:rFonts w:hint="eastAsia" w:ascii="宋体" w:hAnsi="宋体" w:cs="宋体"/>
                <w:kern w:val="0"/>
                <w:sz w:val="20"/>
                <w:lang w:val="en-US" w:eastAsia="zh-CN"/>
              </w:rPr>
              <w:t>、</w:t>
            </w:r>
            <w:r>
              <w:rPr>
                <w:rFonts w:hint="eastAsia" w:ascii="宋体" w:hAnsi="宋体"/>
                <w:bCs/>
                <w:sz w:val="21"/>
                <w:szCs w:val="21"/>
                <w:lang w:val="en-US" w:eastAsia="zh-CN"/>
              </w:rPr>
              <w:t>供销部、、综合办公室</w:t>
            </w:r>
          </w:p>
          <w:p>
            <w:pPr>
              <w:ind w:left="210" w:hanging="210" w:hangingChars="100"/>
              <w:rPr>
                <w:rFonts w:ascii="宋体" w:hAnsi="宋体" w:eastAsia="宋体" w:cs="Times New Roman"/>
                <w:bCs/>
                <w:sz w:val="21"/>
                <w:szCs w:val="21"/>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w:t>
      </w:r>
      <w:r>
        <w:rPr>
          <w:rFonts w:hint="eastAsia" w:ascii="宋体" w:hAnsi="宋体" w:cs="宋体"/>
          <w:bCs/>
          <w:kern w:val="0"/>
          <w:szCs w:val="21"/>
          <w:lang w:val="en-US" w:eastAsia="zh-CN"/>
        </w:rPr>
        <w:t>很大的</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eastAsia="zh-CN"/>
        </w:rPr>
        <w:t>运行监督</w:t>
      </w:r>
      <w:r>
        <w:rPr>
          <w:rFonts w:hint="eastAsia" w:ascii="宋体" w:hAnsi="宋体" w:cs="宋体"/>
          <w:bCs/>
          <w:kern w:val="0"/>
          <w:szCs w:val="21"/>
        </w:rPr>
        <w:t>后一年以来</w:t>
      </w:r>
      <w:r>
        <w:rPr>
          <w:rFonts w:hint="eastAsia" w:ascii="宋体" w:hAnsi="宋体" w:cs="宋体"/>
          <w:bCs/>
          <w:kern w:val="0"/>
          <w:szCs w:val="21"/>
          <w:lang w:val="en-US" w:eastAsia="zh-CN"/>
        </w:rPr>
        <w:t>的</w:t>
      </w:r>
      <w:r>
        <w:rPr>
          <w:rFonts w:hint="eastAsia" w:ascii="宋体" w:hAnsi="宋体" w:cs="宋体"/>
          <w:bCs/>
          <w:kern w:val="0"/>
          <w:szCs w:val="21"/>
        </w:rPr>
        <w:t>运行情况，在</w:t>
      </w:r>
      <w:r>
        <w:rPr>
          <w:rFonts w:hint="eastAsia" w:ascii="宋体" w:hAnsi="宋体"/>
          <w:szCs w:val="21"/>
          <w:lang w:eastAsia="zh-CN"/>
        </w:rPr>
        <w:t>东营市久诺尔石油设备有限公司</w:t>
      </w:r>
      <w:r>
        <w:rPr>
          <w:rFonts w:hint="eastAsia" w:ascii="宋体" w:hAnsi="宋体" w:cs="宋体"/>
          <w:bCs/>
          <w:kern w:val="0"/>
          <w:szCs w:val="21"/>
        </w:rPr>
        <w:t>现场审核中，审核组抽样检查了涉及公司测量体系内的管理、生产、经营、质量和安全等方面的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1作业区</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ind w:firstLine="420" w:firstLineChars="200"/>
        <w:rPr>
          <w:rFonts w:hint="eastAsia" w:ascii="宋体" w:hAnsi="宋体" w:eastAsia="宋体" w:cs="宋体"/>
          <w:bCs/>
          <w:kern w:val="0"/>
          <w:szCs w:val="21"/>
          <w:lang w:eastAsia="zh-CN"/>
        </w:rPr>
      </w:pPr>
      <w:r>
        <w:rPr>
          <w:rFonts w:hint="eastAsia" w:ascii="宋体" w:hAnsi="宋体" w:cs="宋体"/>
          <w:bCs/>
          <w:kern w:val="0"/>
          <w:szCs w:val="21"/>
        </w:rPr>
        <w:t>3.1</w:t>
      </w: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2021</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12月20</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eastAsia="zh-CN"/>
        </w:rPr>
        <w:t>，</w:t>
      </w:r>
      <w:r>
        <w:rPr>
          <w:rFonts w:ascii="Times New Roman" w:hAnsi="Times New Roman" w:cs="Times New Roman"/>
          <w:bCs/>
          <w:kern w:val="0"/>
          <w:szCs w:val="21"/>
          <w:highlight w:val="none"/>
        </w:rPr>
        <w:t>组织了</w:t>
      </w:r>
      <w:r>
        <w:rPr>
          <w:rFonts w:hint="eastAsia" w:ascii="宋体" w:hAnsi="宋体" w:cs="宋体"/>
          <w:bCs/>
          <w:kern w:val="0"/>
          <w:szCs w:val="21"/>
        </w:rPr>
        <w:t>公司的测量</w:t>
      </w:r>
      <w:r>
        <w:rPr>
          <w:rFonts w:hint="eastAsia" w:ascii="宋体" w:hAnsi="宋体" w:cs="宋体"/>
          <w:bCs/>
          <w:kern w:val="0"/>
          <w:szCs w:val="21"/>
          <w:lang w:val="en-US" w:eastAsia="zh-CN"/>
        </w:rPr>
        <w:t>管理</w:t>
      </w:r>
      <w:r>
        <w:rPr>
          <w:rFonts w:hint="eastAsia" w:ascii="宋体" w:hAnsi="宋体" w:cs="宋体"/>
          <w:bCs/>
          <w:kern w:val="0"/>
          <w:szCs w:val="21"/>
        </w:rPr>
        <w:t>体系内审</w:t>
      </w:r>
      <w:r>
        <w:rPr>
          <w:rFonts w:hint="eastAsia" w:ascii="宋体" w:hAnsi="宋体" w:cs="宋体"/>
          <w:bCs/>
          <w:kern w:val="0"/>
          <w:szCs w:val="21"/>
          <w:lang w:eastAsia="zh-CN"/>
        </w:rPr>
        <w:t>。管理者代表代孙振英</w:t>
      </w:r>
      <w:r>
        <w:rPr>
          <w:rFonts w:hint="eastAsia" w:ascii="宋体" w:hAnsi="宋体" w:cs="宋体"/>
          <w:bCs/>
          <w:kern w:val="0"/>
          <w:szCs w:val="21"/>
          <w:highlight w:val="none"/>
          <w:lang w:eastAsia="zh-CN"/>
        </w:rPr>
        <w:t>组长组织</w:t>
      </w:r>
      <w:r>
        <w:rPr>
          <w:rFonts w:hint="eastAsia" w:ascii="宋体" w:hAnsi="宋体" w:cs="宋体"/>
          <w:bCs/>
          <w:kern w:val="0"/>
          <w:szCs w:val="21"/>
          <w:highlight w:val="none"/>
        </w:rPr>
        <w:t>审核。</w:t>
      </w:r>
      <w:r>
        <w:rPr>
          <w:rFonts w:hint="eastAsia" w:ascii="宋体" w:hAnsi="宋体" w:cs="宋体"/>
          <w:bCs/>
          <w:kern w:val="0"/>
          <w:szCs w:val="21"/>
          <w:highlight w:val="none"/>
          <w:lang w:val="en-US" w:eastAsia="zh-CN"/>
        </w:rPr>
        <w:t>1个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1个作业区</w:t>
      </w:r>
      <w:r>
        <w:rPr>
          <w:rFonts w:ascii="宋体" w:hAnsi="宋体" w:cs="宋体"/>
          <w:kern w:val="0"/>
          <w:szCs w:val="21"/>
        </w:rPr>
        <w:t>组</w:t>
      </w:r>
      <w:r>
        <w:rPr>
          <w:rFonts w:hint="eastAsia" w:ascii="宋体" w:hAnsi="宋体" w:cs="宋体"/>
          <w:bCs/>
          <w:kern w:val="0"/>
          <w:szCs w:val="21"/>
        </w:rPr>
        <w:t>进行了全要素的审核。内部审核发现</w:t>
      </w:r>
      <w:r>
        <w:rPr>
          <w:rFonts w:hint="eastAsia" w:ascii="宋体" w:hAnsi="宋体" w:cs="宋体"/>
          <w:bCs/>
          <w:kern w:val="0"/>
          <w:szCs w:val="21"/>
          <w:lang w:val="en-US" w:eastAsia="zh-CN"/>
        </w:rPr>
        <w:t>1</w:t>
      </w:r>
      <w:r>
        <w:rPr>
          <w:rFonts w:hint="eastAsia" w:ascii="宋体" w:hAnsi="宋体" w:cs="宋体"/>
          <w:bCs/>
          <w:kern w:val="0"/>
          <w:szCs w:val="21"/>
        </w:rPr>
        <w:t>个不符合项，制定了相关的预防纠正措施，并在规定时间内，完成整改工作，不符合项已关闭。</w:t>
      </w:r>
    </w:p>
    <w:p>
      <w:pPr>
        <w:widowControl/>
        <w:spacing w:line="360" w:lineRule="auto"/>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highlight w:val="none"/>
        </w:rPr>
        <w:t>公司于20</w:t>
      </w:r>
      <w:r>
        <w:rPr>
          <w:rFonts w:hint="eastAsia" w:ascii="宋体" w:hAnsi="宋体" w:cs="宋体"/>
          <w:bCs/>
          <w:kern w:val="0"/>
          <w:szCs w:val="21"/>
          <w:highlight w:val="none"/>
          <w:lang w:val="en-US" w:eastAsia="zh-CN"/>
        </w:rPr>
        <w:t>21</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12</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26</w:t>
      </w:r>
      <w:r>
        <w:rPr>
          <w:rFonts w:hint="eastAsia" w:ascii="宋体" w:hAnsi="宋体" w:cs="宋体"/>
          <w:bCs/>
          <w:kern w:val="0"/>
          <w:szCs w:val="21"/>
          <w:highlight w:val="none"/>
        </w:rPr>
        <w:t>日，开展了测量体系管理</w:t>
      </w:r>
      <w:r>
        <w:rPr>
          <w:rFonts w:hint="eastAsia" w:ascii="宋体" w:hAnsi="宋体" w:cs="宋体"/>
          <w:bCs/>
          <w:kern w:val="0"/>
          <w:szCs w:val="21"/>
          <w:highlight w:val="none"/>
          <w:lang w:eastAsia="zh-CN"/>
        </w:rPr>
        <w:t>管理</w:t>
      </w:r>
      <w:r>
        <w:rPr>
          <w:rFonts w:hint="eastAsia" w:ascii="宋体" w:hAnsi="宋体" w:cs="宋体"/>
          <w:bCs/>
          <w:kern w:val="0"/>
          <w:szCs w:val="21"/>
          <w:highlight w:val="none"/>
        </w:rPr>
        <w:t>评审，</w:t>
      </w:r>
      <w:r>
        <w:rPr>
          <w:bCs/>
          <w:szCs w:val="21"/>
          <w:highlight w:val="none"/>
        </w:rPr>
        <w:t>会议由企业总经理</w:t>
      </w:r>
      <w:r>
        <w:rPr>
          <w:rFonts w:hint="eastAsia"/>
          <w:bCs/>
          <w:szCs w:val="21"/>
          <w:highlight w:val="none"/>
          <w:lang w:eastAsia="zh-CN"/>
        </w:rPr>
        <w:t>委托管代孙振英主持，</w:t>
      </w:r>
      <w:r>
        <w:rPr>
          <w:szCs w:val="21"/>
          <w:highlight w:val="none"/>
        </w:rPr>
        <w:t>管理者代表</w:t>
      </w:r>
      <w:r>
        <w:rPr>
          <w:rFonts w:hint="eastAsia"/>
          <w:szCs w:val="21"/>
          <w:highlight w:val="none"/>
          <w:lang w:eastAsia="zh-CN"/>
        </w:rPr>
        <w:t>及</w:t>
      </w:r>
      <w:r>
        <w:rPr>
          <w:szCs w:val="21"/>
          <w:highlight w:val="none"/>
        </w:rPr>
        <w:t>各部门</w:t>
      </w:r>
      <w:r>
        <w:rPr>
          <w:bCs/>
          <w:szCs w:val="21"/>
          <w:highlight w:val="none"/>
        </w:rPr>
        <w:t>汇报了体系运行情况和部门工作完成情况。</w:t>
      </w:r>
      <w:r>
        <w:rPr>
          <w:rFonts w:hint="eastAsia" w:ascii="宋体" w:hAnsi="宋体" w:cs="宋体"/>
          <w:bCs/>
          <w:kern w:val="0"/>
          <w:szCs w:val="21"/>
          <w:highlight w:val="none"/>
        </w:rPr>
        <w:t>会上肯定了公司测量管理体系的充分性、有效性和适宜性。</w:t>
      </w:r>
      <w:r>
        <w:rPr>
          <w:rFonts w:hint="eastAsia" w:ascii="宋体" w:hAnsi="宋体" w:cs="宋体"/>
          <w:bCs/>
          <w:kern w:val="0"/>
          <w:szCs w:val="21"/>
        </w:rPr>
        <w:t>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spacing w:line="360" w:lineRule="auto"/>
        <w:jc w:val="left"/>
        <w:rPr>
          <w:rFonts w:ascii="宋体" w:cs="宋体"/>
          <w:bCs/>
          <w:kern w:val="0"/>
          <w:szCs w:val="21"/>
        </w:rPr>
      </w:pPr>
      <w:r>
        <w:rPr>
          <w:rFonts w:ascii="宋体" w:hAnsi="宋体" w:cs="宋体"/>
          <w:bCs/>
          <w:kern w:val="0"/>
          <w:szCs w:val="21"/>
        </w:rPr>
        <w:t xml:space="preserve">4.1 </w:t>
      </w:r>
      <w:r>
        <w:rPr>
          <w:rFonts w:hint="eastAsia"/>
          <w:szCs w:val="21"/>
        </w:rPr>
        <w:t>该企业主要是</w:t>
      </w:r>
      <w:r>
        <w:rPr>
          <w:rFonts w:hint="eastAsia"/>
          <w:szCs w:val="21"/>
          <w:lang w:eastAsia="zh-CN"/>
        </w:rPr>
        <w:t>：</w:t>
      </w:r>
      <w:r>
        <w:rPr>
          <w:rFonts w:hint="eastAsia"/>
          <w:color w:val="000000"/>
          <w:szCs w:val="21"/>
        </w:rPr>
        <w:t>护栏、围栏、标识牌的加工，实验室仪器设备、风光互补供电系统的组装生产，毛毡、标识牌、护栏、网络设备、自动化设备及配件、工矿设备及配件、实验装置及配件、防爆电器及配件、计量装置、仪表柜、金属制品、柴油机配件（含船用柴油机配件）、塑料制品（不含医用）、建筑材料、筛网、消杀用品、石油机械设备及配件、电器、五金建材、井下工具、钻采配件、仪器仪表、通讯设备（不含地面卫星接收及无线发射装置）及配件、劳保用品、保温材料、办公用品、电脑及耗材、防水材料、电线电缆、监控设备、消防器材、灯具、日用百货、电力器材、土产杂品（不含烟花爆竹）、蓄电池、管道配件、家俱、船舶设备及配件、吸油毡、围油栏、救生设备、UPS电源、石灰、石粉、汽车配件、滤料、水处理设备、玻璃仪器（玻璃器皿）、厨房设备及用具、安防器材、采暖设备及配件、管材（含PVC管材、PPR管材、PE管材）、橡胶制品、电器元件、低压电器、绝缘材料的销售</w:t>
      </w:r>
      <w:r>
        <w:rPr>
          <w:color w:val="000000"/>
          <w:szCs w:val="21"/>
        </w:rPr>
        <w:t>等</w:t>
      </w:r>
      <w:r>
        <w:rPr>
          <w:rFonts w:hint="eastAsia" w:ascii="宋体" w:hAnsi="宋体"/>
          <w:szCs w:val="21"/>
          <w:lang w:eastAsia="zh-CN"/>
        </w:rPr>
        <w:t>。质量技术部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eastAsia" w:cs="宋体" w:asciiTheme="minorEastAsia" w:hAnsiTheme="minorEastAsia"/>
          <w:bCs/>
          <w:kern w:val="0"/>
          <w:szCs w:val="21"/>
          <w:lang w:eastAsia="zh-CN"/>
        </w:rPr>
        <w:t>护栏、围栏的壁厚测量过程</w:t>
      </w:r>
      <w:r>
        <w:rPr>
          <w:rFonts w:hint="eastAsia" w:ascii="宋体" w:hAnsi="宋体" w:cs="宋体"/>
          <w:kern w:val="0"/>
          <w:szCs w:val="21"/>
          <w:shd w:val="clear" w:color="auto" w:fill="auto"/>
          <w:lang w:val="en-US" w:eastAsia="zh-CN"/>
        </w:rPr>
        <w:t>等3个测量过程</w:t>
      </w:r>
      <w:r>
        <w:rPr>
          <w:rFonts w:hint="eastAsia" w:ascii="宋体" w:hAnsi="宋体" w:cs="宋体"/>
          <w:kern w:val="0"/>
          <w:szCs w:val="21"/>
          <w:lang w:val="en-US" w:eastAsia="zh-CN"/>
        </w:rPr>
        <w:t>，未增加新的</w:t>
      </w:r>
      <w:r>
        <w:rPr>
          <w:rFonts w:hint="eastAsia" w:ascii="宋体" w:hAnsi="宋体" w:cs="宋体"/>
          <w:bCs/>
          <w:kern w:val="0"/>
          <w:szCs w:val="21"/>
          <w:lang w:eastAsia="zh-CN"/>
        </w:rPr>
        <w:t>关键测量过程；</w:t>
      </w:r>
      <w:r>
        <w:rPr>
          <w:rFonts w:hint="eastAsia" w:ascii="宋体" w:hAnsi="宋体" w:cs="宋体"/>
          <w:bCs/>
          <w:kern w:val="0"/>
          <w:szCs w:val="21"/>
        </w:rPr>
        <w:t>“</w:t>
      </w:r>
      <w:r>
        <w:rPr>
          <w:rFonts w:hint="eastAsia" w:ascii="Times New Roman" w:hAnsi="Times New Roman" w:eastAsia="宋体" w:cs="Times New Roman"/>
          <w:szCs w:val="21"/>
          <w:lang w:eastAsia="zh-CN"/>
        </w:rPr>
        <w:t>护栏、围栏的壁厚测量过程</w:t>
      </w:r>
      <w:r>
        <w:rPr>
          <w:rFonts w:hint="eastAsia" w:ascii="Times New Roman" w:hAnsi="Times New Roman" w:cs="Times New Roman"/>
          <w:bCs/>
          <w:kern w:val="0"/>
          <w:szCs w:val="21"/>
          <w:lang w:eastAsia="zh-CN"/>
        </w:rPr>
        <w:t>”</w:t>
      </w:r>
      <w:r>
        <w:rPr>
          <w:rFonts w:hint="eastAsia" w:ascii="宋体" w:hAnsi="宋体" w:cs="宋体"/>
          <w:bCs/>
          <w:kern w:val="0"/>
          <w:szCs w:val="21"/>
        </w:rPr>
        <w:t>为</w:t>
      </w:r>
      <w:r>
        <w:rPr>
          <w:rFonts w:hint="eastAsia" w:ascii="宋体" w:hAnsi="宋体" w:cs="宋体"/>
          <w:bCs/>
          <w:kern w:val="0"/>
          <w:szCs w:val="21"/>
          <w:lang w:eastAsia="zh-CN"/>
        </w:rPr>
        <w:t>关键</w:t>
      </w:r>
      <w:r>
        <w:rPr>
          <w:rFonts w:hint="eastAsia" w:ascii="宋体" w:hAnsi="宋体" w:cs="宋体"/>
          <w:bCs/>
          <w:kern w:val="0"/>
          <w:szCs w:val="21"/>
        </w:rPr>
        <w:t>测量过程。企业分别对测量过程的测量要素，从重要性、技术要求、配备测量设备名称、测量范围、允许误差（测量不确定度）、环境条件、操作人员资质、测量频次、监视方法等方面，予以有效控制和识别。</w:t>
      </w:r>
    </w:p>
    <w:p>
      <w:pPr>
        <w:widowControl/>
        <w:spacing w:line="360" w:lineRule="auto"/>
        <w:rPr>
          <w:rFonts w:ascii="Times New Roman" w:hAnsi="Times New Roman" w:cs="Times New Roman"/>
          <w:bCs/>
          <w:kern w:val="0"/>
          <w:szCs w:val="21"/>
        </w:rPr>
      </w:pPr>
      <w:r>
        <w:rPr>
          <w:rFonts w:ascii="宋体" w:hAnsi="宋体" w:cs="宋体"/>
          <w:bCs/>
          <w:kern w:val="0"/>
          <w:szCs w:val="21"/>
        </w:rPr>
        <w:t>4.2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9</w:t>
      </w:r>
      <w:r>
        <w:rPr>
          <w:rFonts w:hint="eastAsia" w:ascii="宋体" w:hAnsi="宋体" w:cs="宋体"/>
          <w:bCs/>
          <w:color w:val="auto"/>
          <w:kern w:val="0"/>
          <w:szCs w:val="21"/>
        </w:rPr>
        <w:t>台件测量设</w:t>
      </w:r>
      <w:r>
        <w:rPr>
          <w:rFonts w:hint="eastAsia" w:ascii="宋体" w:hAnsi="宋体" w:cs="宋体"/>
          <w:bCs/>
          <w:kern w:val="0"/>
          <w:szCs w:val="21"/>
        </w:rPr>
        <w:t>备器具进行了计量确认和验证。全部在有效期内，验证结果均为合格。关键测量过程：“</w:t>
      </w:r>
      <w:r>
        <w:rPr>
          <w:rFonts w:hint="eastAsia" w:ascii="Times New Roman" w:hAnsi="Times New Roman" w:eastAsia="宋体" w:cs="Times New Roman"/>
          <w:szCs w:val="21"/>
          <w:lang w:eastAsia="zh-CN"/>
        </w:rPr>
        <w:t>护栏、围栏的壁厚测量过程</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w:t>
      </w:r>
      <w:r>
        <w:rPr>
          <w:rFonts w:hint="eastAsia" w:ascii="Times New Roman" w:hAnsi="Times New Roman" w:cs="Times New Roman"/>
          <w:bCs/>
          <w:kern w:val="0"/>
          <w:szCs w:val="21"/>
          <w:lang w:eastAsia="zh-CN"/>
        </w:rPr>
        <w:t>加</w:t>
      </w:r>
      <w:r>
        <w:rPr>
          <w:rFonts w:ascii="Times New Roman" w:hAnsi="Times New Roman" w:cs="Times New Roman"/>
          <w:bCs/>
          <w:kern w:val="0"/>
          <w:szCs w:val="21"/>
        </w:rPr>
        <w:t>关键测量过程</w:t>
      </w:r>
      <w:r>
        <w:rPr>
          <w:rFonts w:hint="eastAsia" w:ascii="Times New Roman" w:hAnsi="Times New Roman" w:cs="Times New Roman"/>
          <w:bCs/>
          <w:kern w:val="0"/>
          <w:szCs w:val="21"/>
          <w:lang w:eastAsia="zh-CN"/>
        </w:rPr>
        <w:t>，查原“</w:t>
      </w:r>
      <w:r>
        <w:rPr>
          <w:rFonts w:hint="eastAsia" w:ascii="Times New Roman" w:hAnsi="Times New Roman" w:eastAsia="宋体" w:cs="Times New Roman"/>
          <w:szCs w:val="21"/>
          <w:lang w:eastAsia="zh-CN"/>
        </w:rPr>
        <w:t>护栏、围栏的壁厚测量过程</w:t>
      </w:r>
      <w:r>
        <w:rPr>
          <w:rFonts w:hint="eastAsia" w:ascii="Times New Roman" w:hAnsi="Times New Roman" w:cs="Times New Roman"/>
          <w:bCs/>
          <w:kern w:val="0"/>
          <w:szCs w:val="21"/>
          <w:lang w:eastAsia="zh-CN"/>
        </w:rPr>
        <w:t>”</w:t>
      </w:r>
      <w:r>
        <w:rPr>
          <w:rFonts w:ascii="Times New Roman" w:hAnsi="Times New Roman" w:cs="Times New Roman"/>
          <w:bCs/>
          <w:kern w:val="0"/>
          <w:szCs w:val="21"/>
        </w:rPr>
        <w:t>，</w:t>
      </w:r>
      <w:r>
        <w:rPr>
          <w:rFonts w:hint="eastAsia"/>
          <w:lang w:eastAsia="zh-CN"/>
        </w:rPr>
        <w:t>《</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w:t>
      </w:r>
      <w:r>
        <w:rPr>
          <w:rFonts w:hint="eastAsia"/>
          <w:lang w:eastAsia="zh-CN"/>
        </w:rPr>
        <w:t>》</w:t>
      </w:r>
      <w:r>
        <w:rPr>
          <w:rFonts w:ascii="Times New Roman" w:hAnsi="Times New Roman" w:cs="Times New Roman"/>
          <w:bCs/>
          <w:kern w:val="0"/>
          <w:szCs w:val="21"/>
        </w:rPr>
        <w:t>填写规范，计量要求导出方法正确；测量设备的配备满足计量要求，测量设备经过检定校准，测量设备验证方法正确。</w:t>
      </w:r>
    </w:p>
    <w:p>
      <w:pPr>
        <w:widowControl/>
        <w:spacing w:line="360" w:lineRule="auto"/>
        <w:jc w:val="left"/>
        <w:rPr>
          <w:rFonts w:ascii="Times New Roman" w:hAnsi="Times New Roman" w:cs="Times New Roman"/>
          <w:bCs/>
          <w:kern w:val="0"/>
          <w:sz w:val="21"/>
          <w:szCs w:val="21"/>
        </w:rPr>
      </w:pPr>
      <w:r>
        <w:rPr>
          <w:rFonts w:ascii="Times New Roman" w:hAnsi="Times New Roman" w:cs="Times New Roman"/>
          <w:bCs/>
          <w:kern w:val="0"/>
          <w:szCs w:val="21"/>
        </w:rPr>
        <w:t>4.4、查</w:t>
      </w:r>
      <w:r>
        <w:rPr>
          <w:rFonts w:hint="eastAsia" w:ascii="Times New Roman" w:hAnsi="Times New Roman" w:cs="Times New Roman"/>
          <w:bCs/>
          <w:kern w:val="0"/>
          <w:szCs w:val="21"/>
          <w:lang w:eastAsia="zh-CN"/>
        </w:rPr>
        <w:t>“</w:t>
      </w:r>
      <w:r>
        <w:rPr>
          <w:rFonts w:hint="eastAsia" w:ascii="Times New Roman" w:hAnsi="Times New Roman" w:eastAsia="宋体" w:cs="Times New Roman"/>
          <w:szCs w:val="21"/>
          <w:lang w:eastAsia="zh-CN"/>
        </w:rPr>
        <w:t>护栏、围栏的壁厚测量过程</w:t>
      </w:r>
      <w:r>
        <w:rPr>
          <w:rFonts w:ascii="Times New Roman" w:hAnsi="Times New Roman" w:cs="Times New Roman"/>
          <w:bCs/>
          <w:kern w:val="0"/>
          <w:sz w:val="21"/>
          <w:szCs w:val="21"/>
        </w:rPr>
        <w:t>不确定度评定</w:t>
      </w:r>
      <w:r>
        <w:rPr>
          <w:rFonts w:hint="eastAsia" w:ascii="Times New Roman" w:hAnsi="Times New Roman" w:cs="Times New Roman"/>
          <w:bCs/>
          <w:kern w:val="0"/>
          <w:sz w:val="21"/>
          <w:szCs w:val="21"/>
          <w:lang w:eastAsia="zh-CN"/>
        </w:rPr>
        <w:t>”</w:t>
      </w:r>
      <w:r>
        <w:rPr>
          <w:rFonts w:ascii="Times New Roman" w:hAnsi="Times New Roman" w:cs="Times New Roman"/>
          <w:bCs/>
          <w:kern w:val="0"/>
          <w:sz w:val="21"/>
          <w:szCs w:val="21"/>
        </w:rPr>
        <w:t>，方法和结果正确；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Times New Roman" w:hAnsi="Times New Roman" w:cs="Times New Roman"/>
          <w:bCs/>
          <w:kern w:val="0"/>
          <w:sz w:val="21"/>
          <w:szCs w:val="21"/>
          <w:lang w:eastAsia="zh-CN"/>
        </w:rPr>
        <w:t>“</w:t>
      </w:r>
      <w:r>
        <w:rPr>
          <w:rFonts w:hint="eastAsia" w:ascii="Times New Roman" w:hAnsi="Times New Roman" w:eastAsia="宋体" w:cs="Times New Roman"/>
          <w:szCs w:val="21"/>
          <w:lang w:eastAsia="zh-CN"/>
        </w:rPr>
        <w:t>护栏、围栏的壁厚测量过程</w:t>
      </w:r>
      <w:r>
        <w:rPr>
          <w:rFonts w:hint="eastAsia"/>
          <w:lang w:eastAsia="zh-CN"/>
        </w:rPr>
        <w:t>”《</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w:t>
      </w:r>
      <w:r>
        <w:rPr>
          <w:rFonts w:hint="eastAsia"/>
          <w:lang w:eastAsia="zh-CN"/>
        </w:rPr>
        <w:t>》</w:t>
      </w:r>
      <w:r>
        <w:rPr>
          <w:rFonts w:ascii="Times New Roman" w:hAnsi="Times New Roman" w:cs="Times New Roman"/>
          <w:bCs/>
          <w:kern w:val="0"/>
          <w:szCs w:val="21"/>
        </w:rPr>
        <w:t>，信息内容完整、正确。</w:t>
      </w:r>
    </w:p>
    <w:p>
      <w:pPr>
        <w:snapToGrid w:val="0"/>
        <w:spacing w:line="460" w:lineRule="exact"/>
        <w:rPr>
          <w:rFonts w:hint="eastAsia" w:ascii="宋体" w:hAnsi="宋体" w:cs="宋体"/>
          <w:bCs/>
          <w:kern w:val="0"/>
          <w:szCs w:val="21"/>
          <w:lang w:eastAsia="zh-CN"/>
        </w:rPr>
      </w:pPr>
      <w:r>
        <w:rPr>
          <w:rFonts w:ascii="宋体" w:hAnsi="宋体" w:cs="宋体"/>
          <w:bCs/>
          <w:kern w:val="0"/>
          <w:szCs w:val="21"/>
        </w:rPr>
        <w:t>5.</w:t>
      </w:r>
      <w:r>
        <w:rPr>
          <w:rFonts w:hint="eastAsia" w:ascii="宋体" w:hAnsi="宋体" w:cs="宋体"/>
          <w:bCs/>
          <w:kern w:val="0"/>
          <w:szCs w:val="21"/>
        </w:rPr>
        <w:t>对</w:t>
      </w:r>
      <w:r>
        <w:rPr>
          <w:rFonts w:hint="eastAsia" w:ascii="宋体" w:hAnsi="宋体" w:cs="宋体"/>
          <w:bCs/>
          <w:kern w:val="0"/>
          <w:szCs w:val="21"/>
          <w:lang w:eastAsia="zh-CN"/>
        </w:rPr>
        <w:t>上次监督</w:t>
      </w:r>
      <w:r>
        <w:rPr>
          <w:rFonts w:hint="eastAsia" w:ascii="宋体" w:hAnsi="宋体" w:cs="宋体"/>
          <w:bCs/>
          <w:kern w:val="0"/>
          <w:szCs w:val="21"/>
        </w:rPr>
        <w:t>审核时提出的不符合项的纠正措施情况：</w:t>
      </w:r>
    </w:p>
    <w:p>
      <w:pPr>
        <w:snapToGrid w:val="0"/>
        <w:spacing w:line="460" w:lineRule="exact"/>
        <w:ind w:firstLine="420" w:firstLineChars="200"/>
        <w:rPr>
          <w:rFonts w:ascii="宋体" w:hAnsi="宋体" w:cs="宋体"/>
          <w:bCs/>
          <w:kern w:val="0"/>
          <w:szCs w:val="21"/>
        </w:rPr>
      </w:pPr>
      <w:r>
        <w:rPr>
          <w:rFonts w:hint="eastAsia" w:ascii="宋体" w:hAnsi="宋体"/>
          <w:b w:val="0"/>
          <w:bCs/>
          <w:szCs w:val="21"/>
        </w:rPr>
        <w:t>公司</w:t>
      </w:r>
      <w:r>
        <w:rPr>
          <w:rFonts w:hint="eastAsia" w:ascii="宋体" w:hAnsi="宋体"/>
          <w:b w:val="0"/>
          <w:bCs/>
          <w:sz w:val="21"/>
          <w:szCs w:val="21"/>
        </w:rPr>
        <w:t>对上年度</w:t>
      </w:r>
      <w:r>
        <w:rPr>
          <w:rFonts w:hint="eastAsia" w:ascii="宋体" w:hAnsi="宋体"/>
          <w:b w:val="0"/>
          <w:bCs/>
          <w:sz w:val="21"/>
          <w:szCs w:val="21"/>
          <w:lang w:eastAsia="zh-CN"/>
        </w:rPr>
        <w:t>监督</w:t>
      </w:r>
      <w:r>
        <w:rPr>
          <w:rFonts w:hint="eastAsia" w:ascii="宋体" w:hAnsi="宋体"/>
          <w:b w:val="0"/>
          <w:bCs/>
          <w:sz w:val="21"/>
          <w:szCs w:val="21"/>
        </w:rPr>
        <w:t>审核中的</w:t>
      </w:r>
      <w:r>
        <w:rPr>
          <w:rFonts w:hint="eastAsia" w:ascii="宋体" w:hAnsi="宋体"/>
          <w:b w:val="0"/>
          <w:bCs/>
          <w:sz w:val="21"/>
          <w:szCs w:val="21"/>
          <w:lang w:val="en-US" w:eastAsia="zh-CN"/>
        </w:rPr>
        <w:t>1</w:t>
      </w:r>
      <w:r>
        <w:rPr>
          <w:rFonts w:hint="eastAsia" w:ascii="宋体" w:hAnsi="宋体"/>
          <w:b w:val="0"/>
          <w:bCs/>
          <w:sz w:val="21"/>
          <w:szCs w:val="21"/>
        </w:rPr>
        <w:t>个不符合项，及时制定整改计划，采取了如下纠正措施：已对开出的不符合项：</w:t>
      </w:r>
      <w:r>
        <w:rPr>
          <w:rFonts w:hint="eastAsia" w:ascii="宋体" w:hAnsi="宋体"/>
          <w:b w:val="0"/>
          <w:bCs/>
          <w:sz w:val="21"/>
          <w:szCs w:val="21"/>
          <w:lang w:eastAsia="zh-CN"/>
        </w:rPr>
        <w:t>“</w:t>
      </w:r>
      <w:r>
        <w:rPr>
          <w:rFonts w:hint="eastAsia" w:ascii="宋体" w:hAnsi="宋体" w:cs="宋体"/>
          <w:kern w:val="0"/>
          <w:szCs w:val="21"/>
          <w:lang w:val="en-US" w:eastAsia="zh-CN"/>
        </w:rPr>
        <w:t>质量技术部</w:t>
      </w:r>
      <w:r>
        <w:rPr>
          <w:rFonts w:hint="eastAsia" w:ascii="宋体" w:hAnsi="宋体" w:cs="宋体"/>
          <w:kern w:val="0"/>
          <w:szCs w:val="21"/>
          <w:lang w:eastAsia="zh-CN"/>
        </w:rPr>
        <w:t>提供的</w:t>
      </w:r>
      <w:r>
        <w:rPr>
          <w:rFonts w:hint="eastAsia" w:ascii="宋体" w:hAnsi="宋体" w:cs="宋体"/>
          <w:kern w:val="0"/>
          <w:szCs w:val="21"/>
        </w:rPr>
        <w:t xml:space="preserve"> “</w:t>
      </w:r>
      <w:r>
        <w:rPr>
          <w:rFonts w:hint="eastAsia" w:ascii="宋体" w:hAnsi="宋体" w:cs="宋体"/>
          <w:kern w:val="0"/>
          <w:szCs w:val="21"/>
          <w:lang w:eastAsia="zh-CN"/>
        </w:rPr>
        <w:t>原材料检验记录</w:t>
      </w:r>
      <w:r>
        <w:rPr>
          <w:rFonts w:hint="eastAsia" w:ascii="宋体" w:hAnsi="宋体" w:cs="宋体"/>
          <w:kern w:val="0"/>
          <w:szCs w:val="21"/>
        </w:rPr>
        <w:t>”；</w:t>
      </w:r>
      <w:r>
        <w:rPr>
          <w:rFonts w:hint="eastAsia" w:ascii="宋体" w:hAnsi="宋体" w:cs="宋体"/>
          <w:kern w:val="0"/>
          <w:szCs w:val="21"/>
          <w:lang w:eastAsia="zh-CN"/>
        </w:rPr>
        <w:t>产品名称：</w:t>
      </w:r>
      <w:r>
        <w:rPr>
          <w:rFonts w:hint="eastAsia" w:ascii="宋体" w:hAnsi="宋体" w:eastAsia="宋体" w:cs="宋体"/>
          <w:i w:val="0"/>
          <w:color w:val="000000"/>
          <w:kern w:val="0"/>
          <w:sz w:val="21"/>
          <w:szCs w:val="21"/>
          <w:u w:val="none"/>
          <w:lang w:val="en-US" w:eastAsia="zh-CN" w:bidi="ar"/>
        </w:rPr>
        <w:t>热镀锌方管</w:t>
      </w:r>
      <w:r>
        <w:rPr>
          <w:rFonts w:hint="eastAsia" w:ascii="宋体" w:hAnsi="宋体" w:cs="宋体"/>
          <w:i w:val="0"/>
          <w:color w:val="000000"/>
          <w:kern w:val="0"/>
          <w:sz w:val="21"/>
          <w:szCs w:val="21"/>
          <w:u w:val="none"/>
          <w:lang w:val="en-US" w:eastAsia="zh-CN" w:bidi="ar"/>
        </w:rPr>
        <w:t>，</w:t>
      </w:r>
      <w:r>
        <w:rPr>
          <w:rFonts w:hint="eastAsia" w:ascii="宋体" w:hAnsi="宋体" w:cs="宋体"/>
          <w:kern w:val="0"/>
          <w:szCs w:val="21"/>
          <w:lang w:eastAsia="zh-CN"/>
        </w:rPr>
        <w:t>检验</w:t>
      </w:r>
      <w:r>
        <w:rPr>
          <w:rFonts w:hint="eastAsia" w:ascii="宋体" w:hAnsi="宋体" w:cs="宋体"/>
          <w:kern w:val="0"/>
          <w:szCs w:val="21"/>
        </w:rPr>
        <w:t>日期：202</w:t>
      </w:r>
      <w:r>
        <w:rPr>
          <w:rFonts w:hint="eastAsia" w:ascii="宋体" w:hAnsi="宋体" w:cs="宋体"/>
          <w:kern w:val="0"/>
          <w:szCs w:val="21"/>
          <w:lang w:val="en-US" w:eastAsia="zh-CN"/>
        </w:rPr>
        <w:t>1</w:t>
      </w:r>
      <w:r>
        <w:rPr>
          <w:rFonts w:hint="eastAsia" w:ascii="宋体" w:hAnsi="宋体" w:cs="宋体"/>
          <w:kern w:val="0"/>
          <w:szCs w:val="21"/>
        </w:rPr>
        <w:t>年1月</w:t>
      </w:r>
      <w:r>
        <w:rPr>
          <w:rFonts w:hint="eastAsia" w:ascii="宋体" w:hAnsi="宋体" w:cs="宋体"/>
          <w:kern w:val="0"/>
          <w:szCs w:val="21"/>
          <w:lang w:val="en-US" w:eastAsia="zh-CN"/>
        </w:rPr>
        <w:t>11</w:t>
      </w:r>
      <w:r>
        <w:rPr>
          <w:rFonts w:hint="eastAsia" w:ascii="宋体" w:hAnsi="宋体" w:cs="宋体"/>
          <w:kern w:val="0"/>
          <w:szCs w:val="21"/>
        </w:rPr>
        <w:t>日，没</w:t>
      </w:r>
      <w:r>
        <w:rPr>
          <w:rFonts w:hint="eastAsia" w:ascii="宋体" w:hAnsi="宋体" w:cs="宋体"/>
          <w:kern w:val="0"/>
          <w:szCs w:val="21"/>
          <w:lang w:eastAsia="zh-CN"/>
        </w:rPr>
        <w:t>有记录编号及验收依据标准等</w:t>
      </w:r>
      <w:r>
        <w:rPr>
          <w:rFonts w:hint="eastAsia" w:ascii="宋体" w:hAnsi="宋体" w:cs="宋体"/>
          <w:kern w:val="0"/>
          <w:szCs w:val="21"/>
        </w:rPr>
        <w:t>信息。</w:t>
      </w:r>
      <w:r>
        <w:rPr>
          <w:rFonts w:hint="eastAsia" w:ascii="宋体" w:hAnsi="宋体" w:cs="宋体"/>
          <w:color w:val="auto"/>
          <w:kern w:val="0"/>
          <w:szCs w:val="21"/>
        </w:rPr>
        <w:t>不符合GB/T19022-2003标准中</w:t>
      </w:r>
      <w:r>
        <w:rPr>
          <w:rFonts w:hint="eastAsia" w:ascii="宋体" w:hAnsi="宋体" w:cs="宋体"/>
          <w:color w:val="auto"/>
          <w:kern w:val="0"/>
          <w:szCs w:val="21"/>
          <w:lang w:val="en-US" w:eastAsia="zh-CN"/>
        </w:rPr>
        <w:t>7.2.4</w:t>
      </w:r>
      <w:r>
        <w:rPr>
          <w:rFonts w:hint="eastAsia" w:ascii="宋体" w:hAnsi="宋体" w:cs="宋体"/>
          <w:color w:val="auto"/>
          <w:kern w:val="0"/>
          <w:szCs w:val="21"/>
        </w:rPr>
        <w:t>条款</w:t>
      </w:r>
      <w:r>
        <w:rPr>
          <w:rFonts w:hint="eastAsia" w:ascii="宋体"/>
          <w:color w:val="auto"/>
          <w:szCs w:val="21"/>
          <w:lang w:val="en-US" w:eastAsia="zh-CN"/>
        </w:rPr>
        <w:t>a）</w:t>
      </w:r>
      <w:r>
        <w:rPr>
          <w:rFonts w:hint="eastAsia" w:ascii="宋体" w:hAnsi="宋体"/>
          <w:szCs w:val="21"/>
          <w:u w:val="none"/>
          <w:lang w:val="en-US" w:eastAsia="zh-CN"/>
        </w:rPr>
        <w:t>”</w:t>
      </w:r>
      <w:r>
        <w:rPr>
          <w:rFonts w:hint="eastAsia" w:ascii="宋体" w:hAnsi="宋体"/>
          <w:sz w:val="21"/>
          <w:szCs w:val="21"/>
        </w:rPr>
        <w:t>，</w:t>
      </w:r>
      <w:r>
        <w:rPr>
          <w:rFonts w:hint="eastAsia" w:ascii="Times New Roman" w:hAnsi="Times New Roman"/>
          <w:b w:val="0"/>
          <w:bCs/>
          <w:sz w:val="21"/>
          <w:szCs w:val="21"/>
          <w:lang w:val="en-US" w:eastAsia="zh-CN"/>
        </w:rPr>
        <w:t>.</w:t>
      </w:r>
      <w:r>
        <w:rPr>
          <w:rFonts w:hint="eastAsia" w:ascii="宋体" w:hAnsi="宋体" w:cs="宋体"/>
          <w:b w:val="0"/>
          <w:bCs/>
          <w:kern w:val="0"/>
          <w:sz w:val="21"/>
          <w:szCs w:val="21"/>
        </w:rPr>
        <w:t>经本次现场审核，审核组通过对整改完成情况及纠正措施有效性进行查验，确认公司上次</w:t>
      </w:r>
      <w:r>
        <w:rPr>
          <w:rFonts w:hint="eastAsia" w:ascii="宋体" w:hAnsi="宋体" w:cs="宋体"/>
          <w:b w:val="0"/>
          <w:bCs/>
          <w:kern w:val="0"/>
          <w:sz w:val="21"/>
          <w:szCs w:val="21"/>
          <w:lang w:eastAsia="zh-CN"/>
        </w:rPr>
        <w:t>监督</w:t>
      </w:r>
      <w:r>
        <w:rPr>
          <w:rFonts w:hint="eastAsia" w:ascii="宋体" w:hAnsi="宋体" w:cs="宋体"/>
          <w:b w:val="0"/>
          <w:bCs/>
          <w:kern w:val="0"/>
          <w:sz w:val="21"/>
          <w:szCs w:val="21"/>
        </w:rPr>
        <w:t>审核中确定的</w:t>
      </w:r>
      <w:r>
        <w:rPr>
          <w:rFonts w:hint="eastAsia" w:ascii="宋体" w:hAnsi="宋体" w:cs="宋体"/>
          <w:b w:val="0"/>
          <w:bCs/>
          <w:kern w:val="0"/>
          <w:sz w:val="21"/>
          <w:szCs w:val="21"/>
          <w:lang w:val="en-US" w:eastAsia="zh-CN"/>
        </w:rPr>
        <w:t>1</w:t>
      </w:r>
      <w:r>
        <w:rPr>
          <w:rFonts w:hint="eastAsia" w:ascii="宋体" w:hAnsi="宋体" w:cs="宋体"/>
          <w:b w:val="0"/>
          <w:bCs/>
          <w:kern w:val="0"/>
          <w:sz w:val="21"/>
          <w:szCs w:val="21"/>
        </w:rPr>
        <w:t>个不符合项，该公司</w:t>
      </w:r>
      <w:r>
        <w:rPr>
          <w:rFonts w:hint="eastAsia" w:ascii="宋体" w:hAnsi="宋体" w:cs="宋体"/>
          <w:kern w:val="0"/>
          <w:sz w:val="21"/>
          <w:szCs w:val="21"/>
        </w:rPr>
        <w:t>所采取的纠正措施按时整改完成，纠正措施有效，预防再次发生。同意关闭不符合项。</w:t>
      </w:r>
    </w:p>
    <w:p>
      <w:pPr>
        <w:widowControl/>
        <w:spacing w:line="360" w:lineRule="auto"/>
        <w:rPr>
          <w:rFonts w:hint="eastAsia" w:ascii="宋体" w:cs="宋体" w:eastAsiaTheme="minorEastAsia"/>
          <w:bCs/>
          <w:kern w:val="0"/>
          <w:szCs w:val="21"/>
          <w:lang w:eastAsia="zh-CN"/>
        </w:rPr>
      </w:pPr>
      <w:r>
        <w:rPr>
          <w:rFonts w:ascii="宋体" w:hAnsi="宋体" w:cs="宋体"/>
          <w:bCs/>
          <w:kern w:val="0"/>
          <w:szCs w:val="21"/>
        </w:rPr>
        <w:t>6.</w:t>
      </w:r>
      <w:r>
        <w:rPr>
          <w:rFonts w:hint="eastAsia" w:ascii="宋体" w:hAnsi="宋体" w:cs="宋体"/>
          <w:bCs/>
          <w:kern w:val="0"/>
          <w:szCs w:val="21"/>
        </w:rPr>
        <w:t>对投诉的处理情况：</w:t>
      </w:r>
    </w:p>
    <w:p>
      <w:pPr>
        <w:spacing w:line="360" w:lineRule="auto"/>
        <w:ind w:firstLine="420" w:firstLineChars="200"/>
        <w:jc w:val="left"/>
        <w:rPr>
          <w:rFonts w:hint="eastAsia"/>
          <w:szCs w:val="21"/>
          <w:lang w:eastAsia="zh-CN"/>
        </w:rPr>
      </w:pPr>
      <w:bookmarkStart w:id="5" w:name="_GoBack"/>
      <w:r>
        <w:rPr>
          <w:rFonts w:hint="eastAsia" w:ascii="宋体" w:hAnsi="宋体" w:cs="宋体"/>
          <w:bCs/>
          <w:kern w:val="0"/>
          <w:szCs w:val="21"/>
        </w:rPr>
        <w:t>公司目前尚未接到客户在</w:t>
      </w:r>
      <w:r>
        <w:rPr>
          <w:rFonts w:hint="eastAsia" w:ascii="宋体" w:hAnsi="宋体" w:cs="宋体"/>
          <w:bCs/>
          <w:kern w:val="0"/>
          <w:szCs w:val="21"/>
          <w:lang w:eastAsia="zh-CN"/>
        </w:rPr>
        <w:t>生产</w:t>
      </w:r>
      <w:r>
        <w:rPr>
          <w:rFonts w:hint="eastAsia" w:ascii="宋体" w:hAnsi="宋体" w:cs="宋体"/>
          <w:bCs/>
          <w:kern w:val="0"/>
          <w:szCs w:val="21"/>
        </w:rPr>
        <w:t>产品</w:t>
      </w:r>
      <w:r>
        <w:rPr>
          <w:rFonts w:hint="eastAsia" w:ascii="宋体" w:hAnsi="宋体" w:cs="宋体"/>
          <w:bCs/>
          <w:kern w:val="0"/>
          <w:szCs w:val="21"/>
          <w:lang w:eastAsia="zh-CN"/>
        </w:rPr>
        <w:t>、销售产品在</w:t>
      </w:r>
      <w:r>
        <w:rPr>
          <w:rFonts w:hint="eastAsia" w:ascii="宋体" w:hAnsi="宋体" w:cs="宋体"/>
          <w:bCs/>
          <w:kern w:val="0"/>
          <w:szCs w:val="21"/>
        </w:rPr>
        <w:t>质量、物料交接、安全、现场管理等方面的投诉和纠纷。</w:t>
      </w:r>
      <w:r>
        <w:rPr>
          <w:szCs w:val="21"/>
        </w:rPr>
        <w:t>企业</w:t>
      </w:r>
      <w:r>
        <w:rPr>
          <w:rFonts w:hint="eastAsia"/>
          <w:szCs w:val="21"/>
          <w:lang w:eastAsia="zh-CN"/>
        </w:rPr>
        <w:t>在</w:t>
      </w:r>
      <w:r>
        <w:rPr>
          <w:szCs w:val="21"/>
        </w:rPr>
        <w:t>生产产品</w:t>
      </w:r>
      <w:r>
        <w:rPr>
          <w:rFonts w:hint="eastAsia"/>
          <w:szCs w:val="21"/>
          <w:lang w:eastAsia="zh-CN"/>
        </w:rPr>
        <w:t>和销售产品均能</w:t>
      </w:r>
      <w:r>
        <w:rPr>
          <w:szCs w:val="21"/>
        </w:rPr>
        <w:t>够满足顾客</w:t>
      </w:r>
      <w:r>
        <w:rPr>
          <w:rFonts w:hint="eastAsia"/>
          <w:szCs w:val="21"/>
          <w:lang w:eastAsia="zh-CN"/>
        </w:rPr>
        <w:t>在</w:t>
      </w:r>
      <w:r>
        <w:rPr>
          <w:szCs w:val="21"/>
        </w:rPr>
        <w:t>行业标准对产品</w:t>
      </w:r>
      <w:r>
        <w:rPr>
          <w:rFonts w:hint="eastAsia"/>
          <w:szCs w:val="21"/>
          <w:lang w:eastAsia="zh-CN"/>
        </w:rPr>
        <w:t>和销售</w:t>
      </w:r>
      <w:r>
        <w:rPr>
          <w:szCs w:val="21"/>
        </w:rPr>
        <w:t>的要求。产品质量较好，未有顾客投诉。顾客</w:t>
      </w:r>
      <w:r>
        <w:rPr>
          <w:rFonts w:hint="eastAsia"/>
          <w:szCs w:val="21"/>
          <w:lang w:eastAsia="zh-CN"/>
        </w:rPr>
        <w:t>满意度达到标准要求。</w:t>
      </w:r>
      <w:bookmarkEnd w:id="5"/>
    </w:p>
    <w:p>
      <w:pPr>
        <w:spacing w:line="360" w:lineRule="auto"/>
        <w:jc w:val="left"/>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企业规定了公司的计量工作目标</w:t>
      </w:r>
      <w:r>
        <w:rPr>
          <w:rFonts w:hint="eastAsia" w:cs="宋体" w:asciiTheme="minorEastAsia" w:hAnsiTheme="minorEastAsia"/>
          <w:bCs/>
          <w:kern w:val="0"/>
          <w:szCs w:val="21"/>
          <w:lang w:val="en-US" w:eastAsia="zh-CN"/>
        </w:rPr>
        <w:t>5</w:t>
      </w:r>
      <w:r>
        <w:rPr>
          <w:rFonts w:hint="eastAsia" w:cs="宋体" w:asciiTheme="minorEastAsia" w:hAnsiTheme="minorEastAsia"/>
          <w:bCs/>
          <w:kern w:val="0"/>
          <w:szCs w:val="21"/>
        </w:rPr>
        <w:t>项，质量目标与计量方针一致。202</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年度质量目标已分解。抽查企业</w:t>
      </w:r>
      <w:r>
        <w:rPr>
          <w:rFonts w:hint="eastAsia" w:cs="宋体" w:asciiTheme="minorEastAsia" w:hAnsiTheme="minorEastAsia"/>
          <w:bCs/>
          <w:kern w:val="0"/>
          <w:szCs w:val="21"/>
          <w:lang w:val="en-US" w:eastAsia="zh-CN"/>
        </w:rPr>
        <w:t>1-11月4</w:t>
      </w:r>
      <w:r>
        <w:rPr>
          <w:rFonts w:hint="eastAsia" w:cs="宋体" w:asciiTheme="minorEastAsia" w:hAnsiTheme="minorEastAsia"/>
          <w:bCs/>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ascii="宋体" w:cs="宋体"/>
          <w:bCs/>
          <w:kern w:val="0"/>
          <w:szCs w:val="21"/>
          <w:highlight w:val="none"/>
        </w:rPr>
      </w:pPr>
      <w:r>
        <w:rPr>
          <w:rFonts w:hint="eastAsia" w:ascii="宋体" w:hAnsi="宋体" w:cs="宋体"/>
          <w:bCs/>
          <w:kern w:val="0"/>
          <w:szCs w:val="21"/>
          <w:highlight w:val="none"/>
        </w:rPr>
        <w:t>公司在测量管理体系运行方面</w:t>
      </w:r>
      <w:r>
        <w:rPr>
          <w:rFonts w:hint="eastAsia" w:ascii="宋体" w:hAnsi="宋体" w:cs="宋体"/>
          <w:bCs/>
          <w:kern w:val="0"/>
          <w:szCs w:val="21"/>
          <w:highlight w:val="none"/>
          <w:lang w:eastAsia="zh-CN"/>
        </w:rPr>
        <w:t>正常</w:t>
      </w:r>
      <w:r>
        <w:rPr>
          <w:rFonts w:hint="eastAsia" w:ascii="宋体" w:hAnsi="宋体" w:cs="宋体"/>
          <w:bCs/>
          <w:kern w:val="0"/>
          <w:szCs w:val="21"/>
          <w:highlight w:val="none"/>
        </w:rPr>
        <w:t>，</w:t>
      </w:r>
      <w:r>
        <w:rPr>
          <w:rFonts w:hint="eastAsia" w:ascii="宋体" w:hAnsi="宋体" w:cs="宋体"/>
          <w:bCs/>
          <w:kern w:val="0"/>
          <w:szCs w:val="21"/>
          <w:highlight w:val="none"/>
          <w:lang w:eastAsia="zh-CN"/>
        </w:rPr>
        <w:t>营业执照变更（</w:t>
      </w:r>
      <w:r>
        <w:rPr>
          <w:rFonts w:hint="eastAsia" w:ascii="宋体" w:hAnsi="宋体" w:cs="宋体"/>
          <w:bCs/>
          <w:kern w:val="0"/>
          <w:szCs w:val="21"/>
          <w:highlight w:val="none"/>
          <w:lang w:val="en-US" w:eastAsia="zh-CN"/>
        </w:rPr>
        <w:t>2021.12.20</w:t>
      </w:r>
      <w:r>
        <w:rPr>
          <w:rFonts w:hint="eastAsia" w:ascii="宋体" w:hAnsi="宋体" w:cs="宋体"/>
          <w:bCs/>
          <w:kern w:val="0"/>
          <w:szCs w:val="21"/>
          <w:highlight w:val="none"/>
          <w:lang w:eastAsia="zh-CN"/>
        </w:rPr>
        <w:t>）附：工商核验证明。</w:t>
      </w:r>
      <w:r>
        <w:rPr>
          <w:rFonts w:hint="eastAsia" w:ascii="宋体" w:hAnsi="宋体" w:cs="宋体"/>
          <w:b w:val="0"/>
          <w:bCs/>
          <w:kern w:val="0"/>
          <w:szCs w:val="21"/>
          <w:highlight w:val="none"/>
          <w:lang w:val="en-US" w:eastAsia="zh-CN"/>
        </w:rPr>
        <w:t>认证范围、</w:t>
      </w:r>
      <w:r>
        <w:rPr>
          <w:rFonts w:hint="eastAsia" w:ascii="宋体" w:hAnsi="宋体" w:cs="宋体"/>
          <w:bCs/>
          <w:kern w:val="0"/>
          <w:szCs w:val="21"/>
          <w:highlight w:val="none"/>
          <w:lang w:val="en-US" w:eastAsia="zh-CN"/>
        </w:rPr>
        <w:t>企业</w:t>
      </w:r>
      <w:r>
        <w:rPr>
          <w:rFonts w:hint="eastAsia" w:ascii="宋体" w:hAnsi="宋体" w:cs="宋体"/>
          <w:bCs/>
          <w:kern w:val="0"/>
          <w:szCs w:val="21"/>
          <w:highlight w:val="none"/>
        </w:rPr>
        <w:t>管理者代表、组织结构</w:t>
      </w:r>
      <w:r>
        <w:rPr>
          <w:rFonts w:hint="eastAsia" w:ascii="宋体" w:hAnsi="宋体" w:cs="宋体"/>
          <w:bCs/>
          <w:kern w:val="0"/>
          <w:szCs w:val="21"/>
          <w:highlight w:val="none"/>
          <w:lang w:eastAsia="zh-CN"/>
        </w:rPr>
        <w:t>等</w:t>
      </w:r>
      <w:r>
        <w:rPr>
          <w:rFonts w:hint="eastAsia" w:ascii="宋体" w:hAnsi="宋体" w:cs="宋体"/>
          <w:bCs/>
          <w:kern w:val="0"/>
          <w:szCs w:val="21"/>
          <w:highlight w:val="none"/>
        </w:rPr>
        <w:t>没有变化。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asci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胜利油田等项目的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widowControl/>
        <w:spacing w:line="360" w:lineRule="auto"/>
        <w:rPr>
          <w:rFonts w:hint="eastAsia" w:ascii="宋体" w:hAnsi="宋体" w:cs="宋体"/>
          <w:kern w:val="0"/>
          <w:szCs w:val="21"/>
        </w:rPr>
      </w:pPr>
      <w:r>
        <w:rPr>
          <w:rFonts w:ascii="宋体" w:hAnsi="宋体" w:cs="宋体"/>
          <w:bCs/>
          <w:kern w:val="0"/>
          <w:szCs w:val="21"/>
        </w:rPr>
        <w:t>10.</w:t>
      </w:r>
      <w:r>
        <w:rPr>
          <w:rFonts w:hint="eastAsia" w:ascii="宋体" w:hAnsi="宋体" w:cs="宋体"/>
          <w:kern w:val="0"/>
          <w:szCs w:val="21"/>
        </w:rPr>
        <w:t>本次审核发现一般不符合项1项，未发现严重的或系统性的不符合情况。</w:t>
      </w:r>
    </w:p>
    <w:p>
      <w:pPr>
        <w:spacing w:line="440" w:lineRule="exact"/>
        <w:jc w:val="left"/>
        <w:rPr>
          <w:rFonts w:hint="eastAsia" w:ascii="宋体" w:hAnsi="宋体" w:cs="宋体"/>
          <w:bCs/>
          <w:color w:val="auto"/>
          <w:kern w:val="0"/>
          <w:szCs w:val="21"/>
          <w:highlight w:val="none"/>
        </w:rPr>
      </w:pPr>
      <w:r>
        <w:rPr>
          <w:rFonts w:hint="eastAsia" w:ascii="宋体" w:hAnsi="宋体" w:cs="宋体"/>
          <w:kern w:val="0"/>
          <w:szCs w:val="21"/>
          <w:highlight w:val="none"/>
          <w:lang w:val="en-US" w:eastAsia="zh-CN"/>
        </w:rPr>
        <w:t>10.1</w:t>
      </w:r>
      <w:r>
        <w:rPr>
          <w:rFonts w:hint="eastAsia" w:ascii="宋体" w:hAnsi="宋体" w:eastAsia="宋体"/>
          <w:szCs w:val="21"/>
          <w:lang w:eastAsia="zh-CN"/>
        </w:rPr>
        <w:t>质量技术部未能对校准</w:t>
      </w:r>
      <w:r>
        <w:rPr>
          <w:rFonts w:hint="eastAsia"/>
          <w:bCs/>
          <w:color w:val="000000"/>
          <w:szCs w:val="21"/>
        </w:rPr>
        <w:t>服务方</w:t>
      </w:r>
      <w:r>
        <w:rPr>
          <w:rFonts w:hint="eastAsia"/>
          <w:bCs/>
          <w:color w:val="000000"/>
          <w:szCs w:val="21"/>
          <w:lang w:eastAsia="zh-CN"/>
        </w:rPr>
        <w:t>：“</w:t>
      </w:r>
      <w:r>
        <w:rPr>
          <w:rFonts w:hint="eastAsia" w:ascii="宋体" w:hAnsi="宋体" w:eastAsia="宋体" w:cs="宋体"/>
          <w:sz w:val="21"/>
          <w:szCs w:val="21"/>
        </w:rPr>
        <w:t>深圳市高铁计量检测有限公司</w:t>
      </w:r>
      <w:r>
        <w:rPr>
          <w:rFonts w:hint="eastAsia" w:ascii="宋体" w:hAnsi="宋体" w:eastAsia="宋体" w:cs="宋体"/>
          <w:sz w:val="21"/>
          <w:szCs w:val="21"/>
          <w:lang w:eastAsia="zh-CN"/>
        </w:rPr>
        <w:t>”提供</w:t>
      </w:r>
      <w:r>
        <w:rPr>
          <w:bCs/>
          <w:color w:val="000000"/>
          <w:sz w:val="21"/>
          <w:szCs w:val="21"/>
        </w:rPr>
        <w:t>持续评</w:t>
      </w:r>
      <w:r>
        <w:rPr>
          <w:rFonts w:hint="eastAsia"/>
          <w:bCs/>
          <w:color w:val="000000"/>
          <w:sz w:val="21"/>
          <w:szCs w:val="21"/>
          <w:lang w:eastAsia="zh-CN"/>
        </w:rPr>
        <w:t>审的记录</w:t>
      </w:r>
      <w:r>
        <w:rPr>
          <w:rFonts w:hint="eastAsia" w:ascii="宋体" w:hAnsi="宋体" w:eastAsia="宋体" w:cs="宋体"/>
          <w:kern w:val="0"/>
          <w:sz w:val="21"/>
          <w:szCs w:val="21"/>
          <w:lang w:eastAsia="zh-CN"/>
        </w:rPr>
        <w:t>。</w:t>
      </w:r>
      <w:r>
        <w:rPr>
          <w:rFonts w:hint="eastAsia" w:ascii="宋体" w:hAnsi="宋体"/>
          <w:szCs w:val="21"/>
          <w:highlight w:val="none"/>
        </w:rPr>
        <w:t>不满足标准GB/T 19022-2003</w:t>
      </w:r>
      <w:r>
        <w:rPr>
          <w:rFonts w:hint="eastAsia" w:ascii="宋体" w:hAnsi="宋体"/>
          <w:szCs w:val="21"/>
          <w:highlight w:val="none"/>
          <w:lang w:eastAsia="zh-CN"/>
        </w:rPr>
        <w:t>标准</w:t>
      </w:r>
      <w:r>
        <w:rPr>
          <w:rFonts w:hint="eastAsia" w:ascii="宋体" w:hAnsi="宋体"/>
          <w:szCs w:val="21"/>
          <w:highlight w:val="none"/>
          <w:lang w:val="en-US" w:eastAsia="zh-CN"/>
        </w:rPr>
        <w:t>6.4条款外部供方</w:t>
      </w:r>
      <w:r>
        <w:rPr>
          <w:rFonts w:hint="eastAsia" w:ascii="宋体" w:hAnsi="宋体"/>
          <w:szCs w:val="21"/>
          <w:highlight w:val="none"/>
          <w:lang w:eastAsia="zh-CN"/>
        </w:rPr>
        <w:t>的规定</w:t>
      </w:r>
      <w:r>
        <w:rPr>
          <w:rFonts w:hint="eastAsia" w:ascii="宋体" w:hAnsi="宋体"/>
          <w:szCs w:val="21"/>
          <w:highlight w:val="none"/>
        </w:rPr>
        <w:t>要求。</w:t>
      </w:r>
      <w:r>
        <w:rPr>
          <w:rFonts w:hint="eastAsia" w:ascii="宋体" w:hAnsi="宋体" w:cs="宋体"/>
          <w:bCs/>
          <w:color w:val="auto"/>
          <w:kern w:val="0"/>
          <w:szCs w:val="21"/>
          <w:highlight w:val="none"/>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line="360" w:lineRule="auto"/>
        <w:rPr>
          <w:rFonts w:hint="eastAsia" w:ascii="宋体" w:hAnsi="宋体" w:eastAsia="宋体" w:cs="宋体"/>
          <w:b w:val="0"/>
          <w:bCs/>
          <w:kern w:val="0"/>
          <w:szCs w:val="21"/>
          <w:highlight w:val="none"/>
          <w:lang w:eastAsia="zh-CN"/>
        </w:rPr>
      </w:pPr>
      <w:r>
        <w:rPr>
          <w:rFonts w:ascii="宋体" w:hAnsi="宋体" w:cs="宋体"/>
          <w:b w:val="0"/>
          <w:bCs/>
          <w:kern w:val="0"/>
          <w:szCs w:val="21"/>
          <w:highlight w:val="none"/>
        </w:rPr>
        <w:t>11</w:t>
      </w:r>
      <w:r>
        <w:rPr>
          <w:rFonts w:hint="eastAsia" w:ascii="宋体" w:hAnsi="宋体" w:cs="宋体"/>
          <w:b w:val="0"/>
          <w:bCs/>
          <w:kern w:val="0"/>
          <w:szCs w:val="21"/>
          <w:highlight w:val="none"/>
          <w:lang w:val="en-US" w:eastAsia="zh-CN"/>
        </w:rPr>
        <w:t>.</w:t>
      </w: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w:t>
      </w:r>
      <w:r>
        <w:rPr>
          <w:rFonts w:hint="eastAsia" w:ascii="宋体" w:hAnsi="宋体"/>
          <w:color w:val="000000"/>
          <w:szCs w:val="21"/>
        </w:rPr>
        <w:t>电</w:t>
      </w:r>
      <w:r>
        <w:rPr>
          <w:rFonts w:hint="eastAsia" w:ascii="宋体" w:hAnsi="宋体"/>
          <w:color w:val="000000"/>
          <w:szCs w:val="21"/>
          <w:lang w:eastAsia="zh-CN"/>
        </w:rPr>
        <w:t>和水</w:t>
      </w:r>
      <w:r>
        <w:rPr>
          <w:rFonts w:hint="eastAsia" w:ascii="Times New Roman" w:hAnsi="Times New Roman" w:cs="Times New Roman"/>
          <w:b w:val="0"/>
          <w:bCs/>
          <w:kern w:val="0"/>
          <w:szCs w:val="21"/>
          <w:highlight w:val="none"/>
          <w:lang w:eastAsia="zh-CN"/>
        </w:rPr>
        <w:t>，</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2021年1月至11月，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1.28</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四</w:t>
      </w:r>
      <w:r>
        <w:rPr>
          <w:rFonts w:hint="eastAsia"/>
          <w:b w:val="0"/>
          <w:bCs/>
          <w:szCs w:val="21"/>
          <w:highlight w:val="none"/>
        </w:rPr>
        <w:t>线电能表</w:t>
      </w:r>
      <w:r>
        <w:rPr>
          <w:rFonts w:hint="eastAsia"/>
          <w:b w:val="0"/>
          <w:bCs/>
          <w:szCs w:val="21"/>
          <w:highlight w:val="none"/>
          <w:lang w:val="en-US" w:eastAsia="zh-CN"/>
        </w:rPr>
        <w:t>1块</w:t>
      </w:r>
      <w:r>
        <w:rPr>
          <w:rFonts w:hint="eastAsia"/>
          <w:b w:val="0"/>
          <w:bCs/>
          <w:szCs w:val="21"/>
          <w:highlight w:val="none"/>
          <w:lang w:eastAsia="zh-CN"/>
        </w:rPr>
        <w:t>。</w:t>
      </w:r>
      <w:r>
        <w:rPr>
          <w:rFonts w:hint="eastAsia" w:ascii="宋体" w:hAnsi="宋体"/>
          <w:b w:val="0"/>
          <w:bCs/>
          <w:szCs w:val="21"/>
          <w:highlight w:val="none"/>
        </w:rPr>
        <w:t>：</w:t>
      </w:r>
      <w:r>
        <w:rPr>
          <w:rFonts w:hint="eastAsia" w:ascii="宋体" w:hAnsi="宋体"/>
          <w:b w:val="0"/>
          <w:bCs/>
          <w:szCs w:val="21"/>
          <w:highlight w:val="none"/>
          <w:lang w:val="en-US" w:eastAsia="zh-CN"/>
        </w:rPr>
        <w:t>2.5</w:t>
      </w:r>
      <w:r>
        <w:rPr>
          <w:rFonts w:hint="eastAsia"/>
          <w:b w:val="0"/>
          <w:bCs/>
          <w:szCs w:val="21"/>
          <w:highlight w:val="none"/>
        </w:rPr>
        <w:t>级</w:t>
      </w:r>
      <w:r>
        <w:rPr>
          <w:rFonts w:hint="eastAsia"/>
          <w:b w:val="0"/>
          <w:bCs/>
          <w:szCs w:val="21"/>
          <w:highlight w:val="none"/>
          <w:lang w:eastAsia="zh-CN"/>
        </w:rPr>
        <w:t>水表</w:t>
      </w:r>
      <w:r>
        <w:rPr>
          <w:rFonts w:hint="eastAsia"/>
          <w:b w:val="0"/>
          <w:bCs/>
          <w:szCs w:val="21"/>
          <w:highlight w:val="none"/>
          <w:lang w:val="en-US" w:eastAsia="zh-CN"/>
        </w:rPr>
        <w:t>1</w:t>
      </w:r>
      <w:r>
        <w:rPr>
          <w:rFonts w:hint="eastAsia"/>
          <w:b w:val="0"/>
          <w:bCs/>
          <w:szCs w:val="21"/>
          <w:highlight w:val="none"/>
          <w:lang w:eastAsia="zh-CN"/>
        </w:rPr>
        <w:t>块，</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spacing w:before="240" w:after="240" w:line="360" w:lineRule="auto"/>
        <w:rPr>
          <w:rFonts w:ascii="宋体" w:cs="宋体"/>
          <w:b/>
          <w:bCs/>
          <w:kern w:val="0"/>
          <w:szCs w:val="21"/>
          <w:highlight w:val="none"/>
        </w:rPr>
      </w:pPr>
      <w:r>
        <w:rPr>
          <w:rFonts w:hint="eastAsia" w:ascii="宋体" w:hAnsi="宋体" w:cs="宋体"/>
          <w:b/>
          <w:bCs/>
          <w:kern w:val="0"/>
          <w:szCs w:val="21"/>
          <w:highlight w:val="none"/>
        </w:rPr>
        <w:t>二、监督审核结论意见</w:t>
      </w:r>
      <w:r>
        <w:rPr>
          <w:rFonts w:ascii="宋体" w:hAnsi="宋体" w:cs="宋体"/>
          <w:b/>
          <w:bCs/>
          <w:kern w:val="0"/>
          <w:szCs w:val="21"/>
          <w:highlight w:val="none"/>
        </w:rPr>
        <w:t>(</w:t>
      </w:r>
      <w:r>
        <w:rPr>
          <w:rFonts w:hint="eastAsia" w:ascii="宋体" w:hAnsi="宋体" w:cs="宋体"/>
          <w:b/>
          <w:bCs/>
          <w:kern w:val="0"/>
          <w:szCs w:val="21"/>
          <w:highlight w:val="none"/>
        </w:rPr>
        <w:t>含需要说明的事项</w:t>
      </w:r>
      <w:r>
        <w:rPr>
          <w:rFonts w:ascii="宋体" w:hAnsi="宋体" w:cs="宋体"/>
          <w:b/>
          <w:bCs/>
          <w:kern w:val="0"/>
          <w:szCs w:val="21"/>
          <w:highlight w:val="none"/>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12</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29下午-12月30日上午</w:t>
      </w:r>
      <w:r>
        <w:rPr>
          <w:rFonts w:hint="eastAsia" w:ascii="宋体" w:hAnsi="宋体" w:cs="宋体"/>
          <w:bCs/>
          <w:color w:val="auto"/>
          <w:kern w:val="0"/>
          <w:szCs w:val="21"/>
        </w:rPr>
        <w:t>，对</w:t>
      </w:r>
      <w:r>
        <w:rPr>
          <w:rFonts w:hint="eastAsia" w:ascii="宋体" w:hAnsi="宋体"/>
          <w:color w:val="auto"/>
          <w:szCs w:val="21"/>
          <w:lang w:eastAsia="zh-CN"/>
        </w:rPr>
        <w:t>东营市久诺尔石油设备有限公司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cs="宋体"/>
          <w:bCs/>
          <w:color w:val="auto"/>
          <w:kern w:val="0"/>
          <w:szCs w:val="21"/>
        </w:rPr>
        <w:t>现场监督审核，验证了公司在测量管理体系</w:t>
      </w:r>
      <w:r>
        <w:rPr>
          <w:rFonts w:hint="eastAsia" w:ascii="宋体" w:hAnsi="宋体" w:cs="宋体"/>
          <w:bCs/>
          <w:color w:val="auto"/>
          <w:kern w:val="0"/>
          <w:szCs w:val="21"/>
          <w:lang w:eastAsia="zh-CN"/>
        </w:rPr>
        <w:t>监督后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东营市久诺尔石油设备有限公司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numPr>
          <w:ilvl w:val="0"/>
          <w:numId w:val="1"/>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val="en-US" w:eastAsia="zh-CN"/>
        </w:rPr>
        <w:t>建议企业内审员参加培训、满足测量体系</w:t>
      </w:r>
      <w:r>
        <w:rPr>
          <w:rFonts w:hint="eastAsia" w:ascii="Times New Roman" w:hAnsi="Times New Roman" w:cs="Times New Roman"/>
          <w:bCs/>
          <w:kern w:val="0"/>
          <w:szCs w:val="21"/>
          <w:lang w:eastAsia="zh-CN"/>
        </w:rPr>
        <w:t>认证工作的需求。</w:t>
      </w:r>
    </w:p>
    <w:p>
      <w:pPr>
        <w:spacing w:line="240" w:lineRule="auto"/>
        <w:ind w:firstLine="420" w:firstLineChars="200"/>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2、按产品要求，使用规范法定计量单位，以追溯记录的有效性。</w:t>
      </w:r>
    </w:p>
    <w:p>
      <w:pPr>
        <w:widowControl/>
        <w:numPr>
          <w:ilvl w:val="0"/>
          <w:numId w:val="0"/>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val="en-US" w:eastAsia="zh-CN"/>
        </w:rPr>
        <w:t xml:space="preserve">3、 </w:t>
      </w: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ascii="宋体" w:hAnsi="宋体" w:cs="宋体"/>
          <w:b/>
          <w:bCs/>
          <w:kern w:val="0"/>
          <w:szCs w:val="21"/>
        </w:rPr>
        <w:t xml:space="preserve"> </w:t>
      </w:r>
      <w:r>
        <w:rPr>
          <w:rFonts w:hint="eastAsia" w:ascii="Times New Roman" w:hAnsi="Times New Roman" w:eastAsia="宋体" w:cs="Times New Roman"/>
          <w:b/>
          <w:bCs/>
          <w:sz w:val="21"/>
          <w:szCs w:val="21"/>
          <w:lang w:eastAsia="zh-CN"/>
        </w:rPr>
        <w:drawing>
          <wp:inline distT="0" distB="0" distL="114300" distR="114300">
            <wp:extent cx="534035" cy="283845"/>
            <wp:effectExtent l="0" t="0" r="18415" b="1905"/>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6"/>
                    <a:srcRect l="12695" t="5128"/>
                    <a:stretch>
                      <a:fillRect/>
                    </a:stretch>
                  </pic:blipFill>
                  <pic:spPr>
                    <a:xfrm>
                      <a:off x="0" y="0"/>
                      <a:ext cx="534035" cy="283845"/>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2021.12.30</w:t>
      </w:r>
    </w:p>
    <w:p>
      <w:pPr>
        <w:widowControl/>
        <w:spacing w:line="360" w:lineRule="auto"/>
        <w:rPr>
          <w:rFonts w:hint="eastAsia" w:ascii="宋体" w:hAnsi="宋体" w:cs="宋体"/>
          <w:b/>
          <w:bCs/>
          <w:kern w:val="0"/>
          <w:szCs w:val="21"/>
        </w:rPr>
      </w:pPr>
    </w:p>
    <w:p>
      <w:pPr>
        <w:widowControl/>
        <w:spacing w:line="360" w:lineRule="auto"/>
        <w:rPr>
          <w:rFonts w:ascii="宋体" w:hAnsi="宋体" w:cs="宋体"/>
          <w:b/>
          <w:bCs/>
          <w:kern w:val="0"/>
          <w:szCs w:val="21"/>
        </w:rPr>
      </w:pPr>
      <w:r>
        <w:rPr>
          <w:rFonts w:hint="eastAsia" w:ascii="宋体" w:hAnsi="宋体" w:cs="宋体"/>
          <w:b/>
          <w:bCs/>
          <w:kern w:val="0"/>
          <w:szCs w:val="21"/>
        </w:rPr>
        <w:t>北京国标联合认证有限公司</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(盖章)                      </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 日期：</w:t>
      </w:r>
    </w:p>
    <w:p>
      <w:pPr>
        <w:widowControl/>
        <w:spacing w:line="360" w:lineRule="auto"/>
        <w:rPr>
          <w:rFonts w:ascii="宋体" w:hAnsi="宋体" w:eastAsia="宋体" w:cs="宋体"/>
          <w:kern w:val="0"/>
          <w:szCs w:val="28"/>
        </w:rPr>
      </w:pPr>
      <w:r>
        <w:rPr>
          <w:rFonts w:ascii="宋体" w:hAnsi="宋体" w:cs="宋体"/>
          <w:b/>
          <w:bCs/>
          <w:kern w:val="0"/>
          <w:szCs w:val="21"/>
        </w:rPr>
        <w:t xml:space="preserve"> </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62336" behindDoc="0" locked="0" layoutInCell="1" allowOverlap="1">
          <wp:simplePos x="0" y="0"/>
          <wp:positionH relativeFrom="column">
            <wp:posOffset>-436245</wp:posOffset>
          </wp:positionH>
          <wp:positionV relativeFrom="paragraph">
            <wp:posOffset>90170</wp:posOffset>
          </wp:positionV>
          <wp:extent cx="481965" cy="485140"/>
          <wp:effectExtent l="0" t="0" r="13335" b="1016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60288;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1312;mso-width-relative:page;mso-height-relative:page;" coordsize="21600,21600">
          <v:path arrowok="t"/>
          <v:fill focussize="0,0"/>
          <v:stroke/>
          <v:imagedata o:title=""/>
          <o:lock v:ext="edit"/>
        </v:line>
      </w:pict>
    </w:r>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F708A"/>
    <w:multiLevelType w:val="singleLevel"/>
    <w:tmpl w:val="039F708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6947B5"/>
    <w:rsid w:val="00775A02"/>
    <w:rsid w:val="00DB47DA"/>
    <w:rsid w:val="011662FE"/>
    <w:rsid w:val="019126B1"/>
    <w:rsid w:val="03B215BD"/>
    <w:rsid w:val="03E563DD"/>
    <w:rsid w:val="049D6929"/>
    <w:rsid w:val="05FD5174"/>
    <w:rsid w:val="0746361E"/>
    <w:rsid w:val="07A22038"/>
    <w:rsid w:val="07F6331D"/>
    <w:rsid w:val="081433FF"/>
    <w:rsid w:val="0866484A"/>
    <w:rsid w:val="08AF38B7"/>
    <w:rsid w:val="08C9577B"/>
    <w:rsid w:val="09851FB9"/>
    <w:rsid w:val="0A3C2922"/>
    <w:rsid w:val="0CB2714C"/>
    <w:rsid w:val="0CC1767E"/>
    <w:rsid w:val="0D632258"/>
    <w:rsid w:val="0DE1402D"/>
    <w:rsid w:val="0E594764"/>
    <w:rsid w:val="1051458B"/>
    <w:rsid w:val="10FC7F7C"/>
    <w:rsid w:val="11261FFC"/>
    <w:rsid w:val="11326DC6"/>
    <w:rsid w:val="12730AAA"/>
    <w:rsid w:val="145913C3"/>
    <w:rsid w:val="18895737"/>
    <w:rsid w:val="18E8411F"/>
    <w:rsid w:val="1ACA15A5"/>
    <w:rsid w:val="1B701893"/>
    <w:rsid w:val="1D644926"/>
    <w:rsid w:val="1E0679E2"/>
    <w:rsid w:val="1E507DB8"/>
    <w:rsid w:val="1FB73513"/>
    <w:rsid w:val="20245D89"/>
    <w:rsid w:val="212C598A"/>
    <w:rsid w:val="21C517C9"/>
    <w:rsid w:val="2253747B"/>
    <w:rsid w:val="228F589D"/>
    <w:rsid w:val="238D590A"/>
    <w:rsid w:val="23E3439E"/>
    <w:rsid w:val="259C7022"/>
    <w:rsid w:val="25FE255B"/>
    <w:rsid w:val="27816C16"/>
    <w:rsid w:val="27954974"/>
    <w:rsid w:val="28636850"/>
    <w:rsid w:val="299E6A98"/>
    <w:rsid w:val="2B030917"/>
    <w:rsid w:val="2C4F0E75"/>
    <w:rsid w:val="2E0B23F6"/>
    <w:rsid w:val="2E42048A"/>
    <w:rsid w:val="2E9535C2"/>
    <w:rsid w:val="2F3769D8"/>
    <w:rsid w:val="2F98679A"/>
    <w:rsid w:val="30CF7CDB"/>
    <w:rsid w:val="313D2294"/>
    <w:rsid w:val="31647056"/>
    <w:rsid w:val="321A44F5"/>
    <w:rsid w:val="328D7A02"/>
    <w:rsid w:val="32A1519D"/>
    <w:rsid w:val="33E861D3"/>
    <w:rsid w:val="356A4FB1"/>
    <w:rsid w:val="363F5E2D"/>
    <w:rsid w:val="36BD22BD"/>
    <w:rsid w:val="382A5B08"/>
    <w:rsid w:val="3868400B"/>
    <w:rsid w:val="38880CD0"/>
    <w:rsid w:val="39571FC5"/>
    <w:rsid w:val="39A51630"/>
    <w:rsid w:val="39EA584B"/>
    <w:rsid w:val="3AA660B4"/>
    <w:rsid w:val="3BAF7989"/>
    <w:rsid w:val="3F903830"/>
    <w:rsid w:val="408706D3"/>
    <w:rsid w:val="4220715D"/>
    <w:rsid w:val="44C42B5F"/>
    <w:rsid w:val="46184AD1"/>
    <w:rsid w:val="46771B56"/>
    <w:rsid w:val="487D3563"/>
    <w:rsid w:val="49F92A91"/>
    <w:rsid w:val="4A126716"/>
    <w:rsid w:val="4ABD7835"/>
    <w:rsid w:val="4B382532"/>
    <w:rsid w:val="4BD16FB0"/>
    <w:rsid w:val="4EC027DE"/>
    <w:rsid w:val="4F822A24"/>
    <w:rsid w:val="505F1232"/>
    <w:rsid w:val="50FA73B2"/>
    <w:rsid w:val="5133471D"/>
    <w:rsid w:val="52977792"/>
    <w:rsid w:val="52D06ACC"/>
    <w:rsid w:val="53E204EF"/>
    <w:rsid w:val="53FD699A"/>
    <w:rsid w:val="548C10AE"/>
    <w:rsid w:val="553819D4"/>
    <w:rsid w:val="55846126"/>
    <w:rsid w:val="56A52AE7"/>
    <w:rsid w:val="56AF49FF"/>
    <w:rsid w:val="57961E25"/>
    <w:rsid w:val="57EE0A87"/>
    <w:rsid w:val="583773EE"/>
    <w:rsid w:val="58FA7A57"/>
    <w:rsid w:val="5ACA30F8"/>
    <w:rsid w:val="5AD7341B"/>
    <w:rsid w:val="5B4471AA"/>
    <w:rsid w:val="5BED2E50"/>
    <w:rsid w:val="5D6E5D7B"/>
    <w:rsid w:val="5D8B40D4"/>
    <w:rsid w:val="5E541A14"/>
    <w:rsid w:val="5FEB3DF1"/>
    <w:rsid w:val="60EE17B6"/>
    <w:rsid w:val="60FF6850"/>
    <w:rsid w:val="612E2E61"/>
    <w:rsid w:val="61880FEB"/>
    <w:rsid w:val="63243021"/>
    <w:rsid w:val="63244996"/>
    <w:rsid w:val="639346AB"/>
    <w:rsid w:val="64815E69"/>
    <w:rsid w:val="64882719"/>
    <w:rsid w:val="653A413B"/>
    <w:rsid w:val="65B354C1"/>
    <w:rsid w:val="66B707C5"/>
    <w:rsid w:val="66C76995"/>
    <w:rsid w:val="66DA4EE7"/>
    <w:rsid w:val="678058D7"/>
    <w:rsid w:val="69443018"/>
    <w:rsid w:val="695375A4"/>
    <w:rsid w:val="69DD4616"/>
    <w:rsid w:val="6A101968"/>
    <w:rsid w:val="6A756F3B"/>
    <w:rsid w:val="6B5A0FF2"/>
    <w:rsid w:val="6BC61023"/>
    <w:rsid w:val="6DB43658"/>
    <w:rsid w:val="6E4A2C41"/>
    <w:rsid w:val="6F03617D"/>
    <w:rsid w:val="6F843906"/>
    <w:rsid w:val="6FCB3BEE"/>
    <w:rsid w:val="70F168D6"/>
    <w:rsid w:val="716D6BC3"/>
    <w:rsid w:val="71A75E13"/>
    <w:rsid w:val="72FF0D20"/>
    <w:rsid w:val="74B41BED"/>
    <w:rsid w:val="756C46F1"/>
    <w:rsid w:val="75C30245"/>
    <w:rsid w:val="7916525E"/>
    <w:rsid w:val="79880B95"/>
    <w:rsid w:val="7BC7517F"/>
    <w:rsid w:val="7BE74319"/>
    <w:rsid w:val="7E0A279A"/>
    <w:rsid w:val="7F383F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2</TotalTime>
  <ScaleCrop>false</ScaleCrop>
  <LinksUpToDate>false</LinksUpToDate>
  <CharactersWithSpaces>2163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2021-12-30T13:36:51Z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26855577654D4779AED556AE7C30A6C9</vt:lpwstr>
  </property>
</Properties>
</file>