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188"/>
        <w:gridCol w:w="1346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四川华恒正合石化科技有限公司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市场调研-客户、相关需求-订单（要求）评审-服务过程运行控制-服务提供控制。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出具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处理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报告，依据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处理服务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规程进行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1）固废的排放；2）潜在火灾；3）环境污染（钻井液对土地、水的污染）；4)粉尘；5)噪声；6）化学试剂的废弃；通过应急预案和管理方案进行控制管理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1）火灾；2）意外伤害；3）触电；4）机械伤害；5）井喷失控（钻井服务中）；6）中毒（化学试剂）；7）职业病</w:t>
            </w:r>
            <w:r>
              <w:rPr>
                <w:rFonts w:hint="eastAsia"/>
                <w:sz w:val="21"/>
                <w:szCs w:val="21"/>
                <w:highlight w:val="none"/>
              </w:rPr>
              <w:t>；通过应急预案和管理方案进行控制管理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中华人民共和国消费者权益保护法、产品质量法、合同协议、《一般工业固体废物贮存、处置场污染控制标准固废》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"http://www.csres.com/detail/227571.html"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GB/T18599-20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01；《工业固体废物综合利用技术评价导则》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"http://www.csres.com/detail/13733.html"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GB/T32326-2013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；《污水综合标准》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"http://www.csres.com/detail/271931.html"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GB8978-1996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项目按规程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合同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156210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156845</wp:posOffset>
                  </wp:positionV>
                  <wp:extent cx="371475" cy="365760"/>
                  <wp:effectExtent l="0" t="0" r="9525" b="254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2021.12.28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A84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2021-12-28T02:59:58Z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