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0579-2019-QEO-2021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林克斯智能系统（成都）有限公司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林克斯智能系统（成都）有限公司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中国（四川）自由贸易试验区成都高新区益州大道中段1800号1栋3楼301号</w:t>
            </w:r>
            <w:bookmarkEnd w:id="6"/>
          </w:p>
        </w:tc>
        <w:tc>
          <w:tcPr>
            <w:tcW w:w="1242" w:type="dxa"/>
            <w:vMerge w:val="restart"/>
            <w:vAlign w:val="center"/>
          </w:tcPr>
          <w:p>
            <w:r>
              <w:rPr>
                <w:rFonts w:hint="eastAsia"/>
              </w:rPr>
              <w:t>邮编</w:t>
            </w:r>
          </w:p>
        </w:tc>
        <w:tc>
          <w:tcPr>
            <w:tcW w:w="1771" w:type="dxa"/>
          </w:tcPr>
          <w:p>
            <w:bookmarkStart w:id="7" w:name="注册邮编"/>
            <w:r>
              <w:t>600000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中国（四川）自由贸易试验区成都高新区益州大道中段1800号1栋3楼301号</w:t>
            </w:r>
            <w:bookmarkEnd w:id="8"/>
          </w:p>
        </w:tc>
        <w:tc>
          <w:tcPr>
            <w:tcW w:w="1242" w:type="dxa"/>
            <w:vMerge w:val="continue"/>
            <w:vAlign w:val="center"/>
          </w:tcPr>
          <w:p/>
        </w:tc>
        <w:tc>
          <w:tcPr>
            <w:tcW w:w="1771" w:type="dxa"/>
          </w:tcPr>
          <w:p>
            <w:bookmarkStart w:id="9" w:name="办公邮编"/>
            <w:r>
              <w:t>600000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李静</w:t>
            </w:r>
            <w:bookmarkEnd w:id="10"/>
          </w:p>
        </w:tc>
        <w:tc>
          <w:tcPr>
            <w:tcW w:w="1313" w:type="dxa"/>
            <w:vAlign w:val="center"/>
          </w:tcPr>
          <w:p>
            <w:r>
              <w:rPr>
                <w:rFonts w:hint="eastAsia"/>
              </w:rPr>
              <w:t>电话.</w:t>
            </w:r>
          </w:p>
        </w:tc>
        <w:tc>
          <w:tcPr>
            <w:tcW w:w="2180" w:type="dxa"/>
            <w:vAlign w:val="center"/>
          </w:tcPr>
          <w:p>
            <w:bookmarkStart w:id="11" w:name="联系人电话"/>
            <w:r>
              <w:t>19938074971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由铭甫</w:t>
            </w:r>
            <w:bookmarkEnd w:id="13"/>
          </w:p>
        </w:tc>
        <w:tc>
          <w:tcPr>
            <w:tcW w:w="1313" w:type="dxa"/>
            <w:vAlign w:val="center"/>
          </w:tcPr>
          <w:p>
            <w:r>
              <w:rPr>
                <w:rFonts w:hint="eastAsia"/>
              </w:rPr>
              <w:t>管理者代表</w:t>
            </w:r>
          </w:p>
        </w:tc>
        <w:tc>
          <w:tcPr>
            <w:tcW w:w="2180" w:type="dxa"/>
          </w:tcPr>
          <w:p>
            <w:bookmarkStart w:id="14" w:name="管理者代表"/>
            <w:r>
              <w:t>吕录</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lang w:eastAsia="zh-CN"/>
              </w:rPr>
              <w:t>☑</w:t>
            </w:r>
            <w:r>
              <w:rPr>
                <w:rFonts w:hint="eastAsia"/>
                <w:highlight w:val="none"/>
              </w:rPr>
              <w:t>单班□双班□三班□其他</w:t>
            </w:r>
          </w:p>
          <w:p>
            <w:pPr>
              <w:rPr>
                <w:highlight w:val="none"/>
              </w:rPr>
            </w:pPr>
            <w:r>
              <w:rPr>
                <w:rFonts w:hint="eastAsia"/>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snapToGrid w:val="0"/>
              <w:spacing w:line="280" w:lineRule="exact"/>
              <w:rPr>
                <w:rFonts w:hint="eastAsia" w:ascii="宋体" w:hAnsi="宋体" w:cs="宋体"/>
                <w:sz w:val="21"/>
                <w:szCs w:val="21"/>
              </w:rPr>
            </w:pPr>
            <w:r>
              <w:rPr>
                <w:rFonts w:hint="eastAsia" w:ascii="宋体" w:hAnsi="宋体" w:cs="宋体"/>
                <w:sz w:val="21"/>
                <w:szCs w:val="21"/>
              </w:rPr>
              <w:t>研发流程：业务洽谈—合同签订—系统方案设计—交付验收</w:t>
            </w:r>
          </w:p>
          <w:p>
            <w:r>
              <w:rPr>
                <w:rFonts w:hint="eastAsia" w:ascii="宋体" w:hAnsi="宋体" w:cs="宋体"/>
                <w:sz w:val="21"/>
                <w:szCs w:val="21"/>
              </w:rPr>
              <w:t>销售流程：签订合同→采购产品→销售产品→交付客户--售后服务</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2021年12月27日 上午至2021年12月27日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O：开关柜防凝露系统研发、销售及其所涉及的相关职业健康安全管理活动</w:t>
            </w:r>
          </w:p>
          <w:p>
            <w:r>
              <w:t>E：开关柜防凝露系统研发、销售及其所涉及的相关环境管理活动</w:t>
            </w:r>
          </w:p>
          <w:p>
            <w:r>
              <w:t>Q：开关柜防凝露系统研发、销售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O：19.09.02;29.10.07;33.02.01</w:t>
            </w:r>
          </w:p>
          <w:p>
            <w:r>
              <w:t>E：19.09.02;29.10.07;33.02.01</w:t>
            </w:r>
          </w:p>
          <w:p>
            <w:r>
              <w:t>Q：19.09.02;29.10.07;33.02.01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8</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2020年11月19日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4</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278"/>
        <w:gridCol w:w="1300"/>
        <w:gridCol w:w="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278" w:type="dxa"/>
            <w:shd w:val="clear" w:color="auto" w:fill="F3F3F3"/>
            <w:tcMar>
              <w:left w:w="57" w:type="dxa"/>
              <w:right w:w="57" w:type="dxa"/>
            </w:tcMar>
          </w:tcPr>
          <w:p>
            <w:r>
              <w:rPr>
                <w:rFonts w:hint="eastAsia"/>
              </w:rPr>
              <w:t>审核范围（产品和过程）</w:t>
            </w:r>
          </w:p>
          <w:p/>
          <w:p/>
        </w:tc>
        <w:tc>
          <w:tcPr>
            <w:tcW w:w="1300" w:type="dxa"/>
            <w:shd w:val="clear" w:color="auto" w:fill="F3F3F3"/>
            <w:tcMar>
              <w:left w:w="57" w:type="dxa"/>
              <w:right w:w="57" w:type="dxa"/>
            </w:tcMar>
          </w:tcPr>
          <w:p>
            <w:r>
              <w:rPr>
                <w:rFonts w:hint="eastAsia"/>
              </w:rPr>
              <w:t>标准</w:t>
            </w:r>
          </w:p>
        </w:tc>
        <w:tc>
          <w:tcPr>
            <w:tcW w:w="562"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sz w:val="15"/>
                <w:szCs w:val="15"/>
                <w:lang w:eastAsia="ja-JP"/>
              </w:rPr>
            </w:pPr>
            <w:r>
              <w:rPr>
                <w:rFonts w:hint="eastAsia"/>
                <w:sz w:val="15"/>
                <w:szCs w:val="15"/>
                <w:lang w:eastAsia="ja-JP"/>
              </w:rPr>
              <w:t>01</w:t>
            </w:r>
          </w:p>
        </w:tc>
        <w:tc>
          <w:tcPr>
            <w:tcW w:w="2267" w:type="dxa"/>
          </w:tcPr>
          <w:p>
            <w:pPr>
              <w:rPr>
                <w:rFonts w:hint="eastAsia" w:eastAsia="宋体"/>
                <w:sz w:val="15"/>
                <w:szCs w:val="15"/>
                <w:lang w:val="en-US" w:eastAsia="zh-CN"/>
              </w:rPr>
            </w:pPr>
            <w:r>
              <w:rPr>
                <w:sz w:val="15"/>
                <w:szCs w:val="15"/>
              </w:rPr>
              <w:t>林克斯智能系统（成都）有限公司</w:t>
            </w:r>
            <w:r>
              <w:rPr>
                <w:rFonts w:hint="eastAsia"/>
                <w:sz w:val="15"/>
                <w:szCs w:val="15"/>
                <w:lang w:val="en-US" w:eastAsia="zh-CN"/>
              </w:rPr>
              <w:t>/</w:t>
            </w:r>
            <w:r>
              <w:rPr>
                <w:rFonts w:asciiTheme="minorEastAsia" w:hAnsiTheme="minorEastAsia" w:eastAsiaTheme="minorEastAsia"/>
                <w:sz w:val="15"/>
                <w:szCs w:val="15"/>
              </w:rPr>
              <w:t>中国（四川）自由贸易试验区成都高新区益州大道中段1800号1栋3楼301号</w:t>
            </w:r>
          </w:p>
        </w:tc>
        <w:tc>
          <w:tcPr>
            <w:tcW w:w="2267" w:type="dxa"/>
          </w:tcPr>
          <w:p>
            <w:pPr>
              <w:rPr>
                <w:sz w:val="15"/>
                <w:szCs w:val="15"/>
                <w:lang w:val="de-DE" w:eastAsia="ja-JP"/>
              </w:rPr>
            </w:pPr>
            <w:r>
              <w:rPr>
                <w:rFonts w:asciiTheme="minorEastAsia" w:hAnsiTheme="minorEastAsia" w:eastAsiaTheme="minorEastAsia"/>
                <w:sz w:val="15"/>
                <w:szCs w:val="15"/>
              </w:rPr>
              <w:t>中国（四川）自由贸易试验区成都高新区益州大道中段1800号1栋3楼301号</w:t>
            </w:r>
          </w:p>
        </w:tc>
        <w:tc>
          <w:tcPr>
            <w:tcW w:w="571" w:type="dxa"/>
            <w:vAlign w:val="center"/>
          </w:tcPr>
          <w:p>
            <w:pPr>
              <w:rPr>
                <w:rFonts w:hint="default" w:eastAsia="宋体"/>
                <w:sz w:val="15"/>
                <w:szCs w:val="15"/>
                <w:lang w:val="en-US" w:eastAsia="zh-CN"/>
              </w:rPr>
            </w:pPr>
            <w:r>
              <w:rPr>
                <w:rFonts w:hint="eastAsia"/>
                <w:sz w:val="15"/>
                <w:szCs w:val="15"/>
                <w:lang w:val="en-US" w:eastAsia="zh-CN"/>
              </w:rPr>
              <w:t>20</w:t>
            </w:r>
          </w:p>
        </w:tc>
        <w:tc>
          <w:tcPr>
            <w:tcW w:w="2278" w:type="dxa"/>
            <w:vAlign w:val="center"/>
          </w:tcPr>
          <w:p>
            <w:pPr>
              <w:rPr>
                <w:sz w:val="15"/>
                <w:szCs w:val="15"/>
                <w:lang w:eastAsia="ja-JP"/>
              </w:rPr>
            </w:pPr>
            <w:r>
              <w:rPr>
                <w:sz w:val="15"/>
                <w:szCs w:val="15"/>
              </w:rPr>
              <w:t>开关柜防凝露系统研发、销售</w:t>
            </w:r>
          </w:p>
        </w:tc>
        <w:tc>
          <w:tcPr>
            <w:tcW w:w="1300" w:type="dxa"/>
            <w:vAlign w:val="center"/>
          </w:tcPr>
          <w:p>
            <w:pPr>
              <w:rPr>
                <w:sz w:val="15"/>
                <w:szCs w:val="15"/>
                <w:lang w:eastAsia="ja-JP"/>
              </w:rPr>
            </w:pPr>
            <w:r>
              <w:rPr>
                <w:rFonts w:hint="eastAsia"/>
                <w:sz w:val="15"/>
                <w:szCs w:val="15"/>
                <w:lang w:eastAsia="ja-JP"/>
              </w:rPr>
              <w:t>ISO 9001:2015</w:t>
            </w:r>
          </w:p>
        </w:tc>
        <w:tc>
          <w:tcPr>
            <w:tcW w:w="562" w:type="dxa"/>
            <w:shd w:val="clear" w:color="auto" w:fill="FFFFFF"/>
          </w:tcPr>
          <w:p>
            <w:r>
              <w:rPr>
                <w:rFonts w:hint="eastAsia" w:ascii="黑体" w:hAnsi="黑体" w:eastAsia="黑体" w:cs="黑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rFonts w:hint="eastAsia" w:ascii="Times New Roman" w:hAnsi="Times New Roman" w:eastAsia="宋体" w:cs="Times New Roman"/>
                <w:kern w:val="2"/>
                <w:sz w:val="15"/>
                <w:szCs w:val="15"/>
                <w:lang w:val="en-US" w:eastAsia="ja-JP" w:bidi="ar-SA"/>
              </w:rPr>
            </w:pPr>
            <w:r>
              <w:rPr>
                <w:sz w:val="15"/>
                <w:szCs w:val="15"/>
              </w:rPr>
              <w:t>林克斯智能系统（成都）有限公司</w:t>
            </w:r>
            <w:r>
              <w:rPr>
                <w:rFonts w:hint="eastAsia"/>
                <w:sz w:val="15"/>
                <w:szCs w:val="15"/>
                <w:lang w:val="en-US" w:eastAsia="zh-CN"/>
              </w:rPr>
              <w:t>/</w:t>
            </w:r>
            <w:r>
              <w:rPr>
                <w:rFonts w:asciiTheme="minorEastAsia" w:hAnsiTheme="minorEastAsia" w:eastAsiaTheme="minorEastAsia"/>
                <w:sz w:val="15"/>
                <w:szCs w:val="15"/>
              </w:rPr>
              <w:t>中国（四川）自由贸易试验区成都高新区益州大道中段1800号1栋3楼301号</w:t>
            </w:r>
          </w:p>
        </w:tc>
        <w:tc>
          <w:tcPr>
            <w:tcW w:w="2267" w:type="dxa"/>
            <w:vAlign w:val="top"/>
          </w:tcPr>
          <w:p>
            <w:pPr>
              <w:rPr>
                <w:rFonts w:ascii="Times New Roman" w:hAnsi="Times New Roman" w:eastAsia="宋体" w:cs="Times New Roman"/>
                <w:kern w:val="2"/>
                <w:sz w:val="15"/>
                <w:szCs w:val="15"/>
                <w:lang w:val="de-DE" w:eastAsia="ja-JP" w:bidi="ar-SA"/>
              </w:rPr>
            </w:pPr>
            <w:r>
              <w:rPr>
                <w:rFonts w:asciiTheme="minorEastAsia" w:hAnsiTheme="minorEastAsia" w:eastAsiaTheme="minorEastAsia"/>
                <w:sz w:val="15"/>
                <w:szCs w:val="15"/>
              </w:rPr>
              <w:t>中国（四川）自由贸易试验区成都高新区益州大道中段1800号1栋3楼301号</w:t>
            </w:r>
          </w:p>
        </w:tc>
        <w:tc>
          <w:tcPr>
            <w:tcW w:w="571" w:type="dxa"/>
            <w:vAlign w:val="center"/>
          </w:tcPr>
          <w:p>
            <w:pPr>
              <w:rPr>
                <w:rFonts w:hint="default" w:ascii="Times New Roman" w:hAnsi="Times New Roman" w:eastAsia="宋体" w:cs="Times New Roman"/>
                <w:kern w:val="2"/>
                <w:sz w:val="15"/>
                <w:szCs w:val="15"/>
                <w:lang w:val="en-US" w:eastAsia="ja-JP" w:bidi="ar-SA"/>
              </w:rPr>
            </w:pPr>
            <w:r>
              <w:rPr>
                <w:rFonts w:hint="eastAsia"/>
                <w:sz w:val="15"/>
                <w:szCs w:val="15"/>
                <w:lang w:val="en-US" w:eastAsia="zh-CN"/>
              </w:rPr>
              <w:t>20</w:t>
            </w:r>
          </w:p>
        </w:tc>
        <w:tc>
          <w:tcPr>
            <w:tcW w:w="2278" w:type="dxa"/>
            <w:vAlign w:val="center"/>
          </w:tcPr>
          <w:p>
            <w:pPr>
              <w:rPr>
                <w:lang w:eastAsia="ja-JP"/>
              </w:rPr>
            </w:pPr>
            <w:r>
              <w:rPr>
                <w:rFonts w:ascii="Times New Roman" w:hAnsi="Times New Roman" w:eastAsia="宋体" w:cs="Times New Roman"/>
                <w:sz w:val="15"/>
                <w:szCs w:val="15"/>
              </w:rPr>
              <w:t>开关柜防凝露系统研发、销售及其所涉及的相关环境管理活动</w:t>
            </w:r>
          </w:p>
        </w:tc>
        <w:tc>
          <w:tcPr>
            <w:tcW w:w="1300" w:type="dxa"/>
            <w:vAlign w:val="center"/>
          </w:tcPr>
          <w:p>
            <w:pPr>
              <w:rPr>
                <w:lang w:eastAsia="ja-JP"/>
              </w:rPr>
            </w:pPr>
            <w:r>
              <w:rPr>
                <w:rFonts w:hint="eastAsia"/>
                <w:sz w:val="15"/>
                <w:szCs w:val="15"/>
                <w:lang w:eastAsia="ja-JP"/>
              </w:rPr>
              <w:t xml:space="preserve">ISO </w:t>
            </w:r>
            <w:r>
              <w:rPr>
                <w:rFonts w:hint="eastAsia"/>
                <w:sz w:val="15"/>
                <w:szCs w:val="15"/>
                <w:lang w:val="en-US" w:eastAsia="zh-CN"/>
              </w:rPr>
              <w:t>14</w:t>
            </w:r>
            <w:r>
              <w:rPr>
                <w:rFonts w:hint="eastAsia"/>
                <w:sz w:val="15"/>
                <w:szCs w:val="15"/>
                <w:lang w:eastAsia="ja-JP"/>
              </w:rPr>
              <w:t>001:2015</w:t>
            </w:r>
          </w:p>
        </w:tc>
        <w:tc>
          <w:tcPr>
            <w:tcW w:w="562" w:type="dxa"/>
            <w:shd w:val="clear" w:color="auto" w:fill="FFFFFF"/>
            <w:vAlign w:val="top"/>
          </w:tcPr>
          <w:p>
            <w:r>
              <w:rPr>
                <w:rFonts w:hint="eastAsia" w:ascii="黑体" w:hAnsi="黑体" w:eastAsia="黑体" w:cs="黑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top"/>
          </w:tcPr>
          <w:p>
            <w:pPr>
              <w:rPr>
                <w:rFonts w:hint="eastAsia" w:ascii="Times New Roman" w:hAnsi="Times New Roman" w:eastAsia="宋体" w:cs="Times New Roman"/>
                <w:kern w:val="2"/>
                <w:sz w:val="15"/>
                <w:szCs w:val="15"/>
                <w:lang w:val="en-US" w:eastAsia="ja-JP" w:bidi="ar-SA"/>
              </w:rPr>
            </w:pPr>
            <w:r>
              <w:rPr>
                <w:sz w:val="15"/>
                <w:szCs w:val="15"/>
              </w:rPr>
              <w:t>林克斯智能系统（成都）有限公司</w:t>
            </w:r>
            <w:r>
              <w:rPr>
                <w:rFonts w:hint="eastAsia"/>
                <w:sz w:val="15"/>
                <w:szCs w:val="15"/>
                <w:lang w:val="en-US" w:eastAsia="zh-CN"/>
              </w:rPr>
              <w:t>/</w:t>
            </w:r>
            <w:r>
              <w:rPr>
                <w:rFonts w:asciiTheme="minorEastAsia" w:hAnsiTheme="minorEastAsia" w:eastAsiaTheme="minorEastAsia"/>
                <w:sz w:val="15"/>
                <w:szCs w:val="15"/>
              </w:rPr>
              <w:t>中国（四川）自由贸易试验区成都高新区益州大道中段1800号1栋3楼301号</w:t>
            </w:r>
          </w:p>
        </w:tc>
        <w:tc>
          <w:tcPr>
            <w:tcW w:w="2267" w:type="dxa"/>
            <w:vAlign w:val="top"/>
          </w:tcPr>
          <w:p>
            <w:pPr>
              <w:rPr>
                <w:rFonts w:ascii="Times New Roman" w:hAnsi="Times New Roman" w:eastAsia="宋体" w:cs="Times New Roman"/>
                <w:kern w:val="2"/>
                <w:sz w:val="15"/>
                <w:szCs w:val="15"/>
                <w:lang w:val="de-DE" w:eastAsia="ja-JP" w:bidi="ar-SA"/>
              </w:rPr>
            </w:pPr>
            <w:r>
              <w:rPr>
                <w:rFonts w:asciiTheme="minorEastAsia" w:hAnsiTheme="minorEastAsia" w:eastAsiaTheme="minorEastAsia"/>
                <w:sz w:val="15"/>
                <w:szCs w:val="15"/>
              </w:rPr>
              <w:t>中国（四川）自由贸易试验区成都高新区益州大道中段1800号1栋3楼301号</w:t>
            </w:r>
          </w:p>
        </w:tc>
        <w:tc>
          <w:tcPr>
            <w:tcW w:w="571" w:type="dxa"/>
            <w:vAlign w:val="center"/>
          </w:tcPr>
          <w:p>
            <w:pPr>
              <w:rPr>
                <w:rFonts w:hint="default" w:ascii="Times New Roman" w:hAnsi="Times New Roman" w:eastAsia="宋体" w:cs="Times New Roman"/>
                <w:kern w:val="2"/>
                <w:sz w:val="15"/>
                <w:szCs w:val="15"/>
                <w:lang w:val="en-US" w:eastAsia="ja-JP" w:bidi="ar-SA"/>
              </w:rPr>
            </w:pPr>
            <w:r>
              <w:rPr>
                <w:rFonts w:hint="eastAsia"/>
                <w:sz w:val="15"/>
                <w:szCs w:val="15"/>
                <w:lang w:val="en-US" w:eastAsia="zh-CN"/>
              </w:rPr>
              <w:t>20</w:t>
            </w:r>
          </w:p>
        </w:tc>
        <w:tc>
          <w:tcPr>
            <w:tcW w:w="2278" w:type="dxa"/>
            <w:vAlign w:val="center"/>
          </w:tcPr>
          <w:p>
            <w:pPr>
              <w:rPr>
                <w:lang w:eastAsia="ja-JP"/>
              </w:rPr>
            </w:pPr>
            <w:r>
              <w:rPr>
                <w:rFonts w:ascii="Times New Roman" w:hAnsi="Times New Roman" w:eastAsia="宋体" w:cs="Times New Roman"/>
                <w:sz w:val="15"/>
                <w:szCs w:val="15"/>
              </w:rPr>
              <w:t>开关柜防凝露系统研发、销售及其所涉及的相关职业健康安全管理活动</w:t>
            </w:r>
          </w:p>
        </w:tc>
        <w:tc>
          <w:tcPr>
            <w:tcW w:w="1300" w:type="dxa"/>
            <w:vAlign w:val="center"/>
          </w:tcPr>
          <w:p>
            <w:pPr>
              <w:rPr>
                <w:rFonts w:hint="default" w:eastAsia="宋体"/>
                <w:lang w:val="en-US" w:eastAsia="zh-CN"/>
              </w:rPr>
            </w:pPr>
            <w:r>
              <w:rPr>
                <w:rFonts w:hint="eastAsia"/>
                <w:sz w:val="15"/>
                <w:szCs w:val="15"/>
                <w:lang w:eastAsia="ja-JP"/>
              </w:rPr>
              <w:t xml:space="preserve">ISO </w:t>
            </w:r>
            <w:r>
              <w:rPr>
                <w:rFonts w:hint="eastAsia"/>
                <w:sz w:val="15"/>
                <w:szCs w:val="15"/>
                <w:lang w:val="en-US" w:eastAsia="zh-CN"/>
              </w:rPr>
              <w:t>45</w:t>
            </w:r>
            <w:r>
              <w:rPr>
                <w:rFonts w:hint="eastAsia"/>
                <w:sz w:val="15"/>
                <w:szCs w:val="15"/>
                <w:lang w:eastAsia="ja-JP"/>
              </w:rPr>
              <w:t>001:20</w:t>
            </w:r>
            <w:r>
              <w:rPr>
                <w:rFonts w:hint="eastAsia"/>
                <w:sz w:val="15"/>
                <w:szCs w:val="15"/>
                <w:lang w:val="en-US" w:eastAsia="zh-CN"/>
              </w:rPr>
              <w:t>18</w:t>
            </w:r>
          </w:p>
        </w:tc>
        <w:tc>
          <w:tcPr>
            <w:tcW w:w="562" w:type="dxa"/>
            <w:shd w:val="clear" w:color="auto" w:fill="FFFFFF"/>
            <w:vAlign w:val="top"/>
          </w:tcPr>
          <w:p>
            <w:r>
              <w:rPr>
                <w:rFonts w:hint="eastAsia" w:ascii="黑体" w:hAnsi="黑体" w:eastAsia="黑体" w:cs="黑体"/>
              </w:rPr>
              <w:t>■</w:t>
            </w:r>
          </w:p>
        </w:tc>
      </w:tr>
    </w:tbl>
    <w:p/>
    <w:p>
      <w:pPr>
        <w:rPr>
          <w:rFonts w:hint="eastAsia" w:eastAsia="宋体"/>
          <w:lang w:eastAsia="zh-CN"/>
        </w:rPr>
      </w:pPr>
      <w:r>
        <w:rPr>
          <w:rFonts w:hint="eastAsia"/>
        </w:rPr>
        <w:t>三、任何影响审核方案的重要事项：</w:t>
      </w:r>
      <w:r>
        <w:rPr>
          <w:rFonts w:hint="eastAsia"/>
          <w:lang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2019-N1OHSMS-2093566</w:t>
            </w:r>
          </w:p>
          <w:p>
            <w:r>
              <w:t>2021-N1EMS-3093566</w:t>
            </w:r>
          </w:p>
          <w:p>
            <w:r>
              <w:t>2019-N1QMS-3093566</w:t>
            </w:r>
          </w:p>
        </w:tc>
        <w:tc>
          <w:tcPr>
            <w:tcW w:w="2179" w:type="dxa"/>
            <w:vAlign w:val="center"/>
          </w:tcPr>
          <w:p>
            <w:r>
              <w:t>O:19.09.02,29.10.07,33.02.01</w:t>
            </w:r>
          </w:p>
          <w:p>
            <w:r>
              <w:t>E:19.09.02,29.10.07,33.02.01</w:t>
            </w:r>
          </w:p>
          <w:p>
            <w:r>
              <w:t>Q:19.09.02,29.10.07,33.02.01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2021-N1EMS-1265256</w:t>
            </w:r>
          </w:p>
          <w:p>
            <w:r>
              <w:t>2020-N1QMS-1265256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r>
              <w:t>Q:19.09.02,29.10.07,33.02.01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eastAsia="zh-CN"/>
              </w:rPr>
            </w:pPr>
            <w:r>
              <w:rPr>
                <w:rFonts w:hint="eastAsia"/>
                <w:sz w:val="18"/>
                <w:szCs w:val="18"/>
                <w:lang w:eastAsia="zh-CN"/>
              </w:rPr>
              <w:t>原：</w:t>
            </w:r>
            <w:r>
              <w:rPr>
                <w:rFonts w:hint="eastAsia" w:ascii="宋体" w:hAnsi="宋体"/>
                <w:sz w:val="18"/>
                <w:szCs w:val="18"/>
              </w:rPr>
              <w:t>中国（四川）自由贸易试验区成都高新区天府五街200号蓉创广场1号楼A区6、7层</w:t>
            </w:r>
            <w:r>
              <w:rPr>
                <w:rFonts w:hint="eastAsia" w:ascii="宋体" w:hAnsi="宋体"/>
                <w:sz w:val="18"/>
                <w:szCs w:val="18"/>
                <w:lang w:eastAsia="zh-CN"/>
              </w:rPr>
              <w:t>；变更为：</w:t>
            </w:r>
            <w:r>
              <w:rPr>
                <w:rFonts w:hint="eastAsia" w:ascii="宋体" w:hAnsi="宋体"/>
                <w:sz w:val="18"/>
                <w:szCs w:val="18"/>
              </w:rPr>
              <w:t>中国（四川）自由贸易试验区成都高新区益州大道中段1800号1栋3楼301号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sz w:val="18"/>
                <w:szCs w:val="18"/>
                <w:lang w:eastAsia="zh-CN"/>
              </w:rPr>
              <w:t>原：成都市高新区新国际会展中心世纪城路920号成达佳园2-2-26-3</w:t>
            </w:r>
            <w:r>
              <w:rPr>
                <w:rFonts w:hint="eastAsia" w:ascii="宋体" w:hAnsi="宋体"/>
                <w:sz w:val="18"/>
                <w:szCs w:val="18"/>
                <w:lang w:eastAsia="zh-CN"/>
              </w:rPr>
              <w:t>；变更为：</w:t>
            </w:r>
            <w:r>
              <w:rPr>
                <w:rFonts w:hint="eastAsia" w:ascii="宋体" w:hAnsi="宋体"/>
                <w:sz w:val="18"/>
                <w:szCs w:val="18"/>
              </w:rPr>
              <w:t>中国（四川）自由贸易试验区成都高新区益州大道中段1800号1栋3楼301号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eastAsia="zh-CN"/>
        </w:rPr>
      </w:pPr>
      <w:r>
        <w:rPr>
          <w:rFonts w:hint="eastAsia"/>
          <w:lang w:eastAsia="zh-CN"/>
        </w:rPr>
        <w:t>☑</w:t>
      </w:r>
      <w:r>
        <w:rPr>
          <w:rFonts w:hint="eastAsia"/>
        </w:rPr>
        <w:t>可能影响本次审核结论可靠性的因素：</w:t>
      </w:r>
      <w:r>
        <w:rPr>
          <w:rFonts w:hint="eastAsia"/>
          <w:lang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000000" w:themeColor="text1"/>
              </w:rPr>
            </w:pPr>
            <w:r>
              <w:rPr>
                <w:rFonts w:hint="eastAsia"/>
                <w:color w:val="000000" w:themeColor="text1"/>
              </w:rPr>
              <w:t>QMS</w:t>
            </w:r>
          </w:p>
        </w:tc>
        <w:tc>
          <w:tcPr>
            <w:tcW w:w="1698" w:type="dxa"/>
          </w:tcPr>
          <w:p>
            <w:pPr>
              <w:rPr>
                <w:rFonts w:hint="eastAsia" w:eastAsia="宋体"/>
                <w:color w:val="000000" w:themeColor="text1"/>
                <w:lang w:val="en-US" w:eastAsia="zh-CN"/>
              </w:rPr>
            </w:pPr>
            <w:r>
              <w:rPr>
                <w:rFonts w:hint="eastAsia"/>
                <w:color w:val="000000" w:themeColor="text1"/>
                <w:lang w:val="en-US" w:eastAsia="zh-CN"/>
              </w:rPr>
              <w:t>1</w:t>
            </w:r>
          </w:p>
        </w:tc>
        <w:tc>
          <w:tcPr>
            <w:tcW w:w="1717" w:type="dxa"/>
          </w:tcPr>
          <w:p>
            <w:pPr>
              <w:rPr>
                <w:rFonts w:hint="eastAsia" w:eastAsia="宋体"/>
                <w:color w:val="000000" w:themeColor="text1"/>
                <w:lang w:val="en-US" w:eastAsia="zh-CN"/>
              </w:rPr>
            </w:pPr>
            <w:r>
              <w:rPr>
                <w:rFonts w:hint="eastAsia"/>
                <w:color w:val="000000" w:themeColor="text1"/>
                <w:lang w:val="en-US" w:eastAsia="zh-CN"/>
              </w:rPr>
              <w:t>0</w:t>
            </w:r>
          </w:p>
        </w:tc>
        <w:tc>
          <w:tcPr>
            <w:tcW w:w="1560" w:type="dxa"/>
          </w:tcPr>
          <w:p>
            <w:pPr>
              <w:rPr>
                <w:rFonts w:hint="eastAsia" w:eastAsia="宋体"/>
                <w:color w:val="000000" w:themeColor="text1"/>
                <w:lang w:val="en-US" w:eastAsia="zh-CN"/>
              </w:rPr>
            </w:pPr>
            <w:r>
              <w:rPr>
                <w:rFonts w:hint="eastAsia"/>
                <w:color w:val="000000" w:themeColor="text1"/>
                <w:lang w:val="en-US" w:eastAsia="zh-CN"/>
              </w:rPr>
              <w:t>1</w:t>
            </w:r>
          </w:p>
        </w:tc>
        <w:tc>
          <w:tcPr>
            <w:tcW w:w="2965" w:type="dxa"/>
          </w:tcPr>
          <w:p>
            <w:pPr>
              <w:rPr>
                <w:color w:val="000000" w:themeColor="text1"/>
              </w:rPr>
            </w:pPr>
            <w:r>
              <w:rPr>
                <w:rFonts w:hint="eastAsia"/>
                <w:color w:val="000000" w:themeColor="text1"/>
                <w:lang w:eastAsia="zh-CN"/>
              </w:rPr>
              <w:t>☑</w:t>
            </w:r>
            <w:r>
              <w:rPr>
                <w:rFonts w:hint="eastAsia"/>
                <w:color w:val="000000" w:themeColor="text1"/>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000000" w:themeColor="text1"/>
              </w:rPr>
            </w:pPr>
            <w:r>
              <w:rPr>
                <w:rFonts w:hint="eastAsia"/>
                <w:color w:val="000000" w:themeColor="text1"/>
              </w:rPr>
              <w:t>50430</w:t>
            </w:r>
          </w:p>
        </w:tc>
        <w:tc>
          <w:tcPr>
            <w:tcW w:w="1698" w:type="dxa"/>
          </w:tcPr>
          <w:p>
            <w:pPr>
              <w:rPr>
                <w:color w:val="000000" w:themeColor="text1"/>
              </w:rPr>
            </w:pPr>
          </w:p>
        </w:tc>
        <w:tc>
          <w:tcPr>
            <w:tcW w:w="1717" w:type="dxa"/>
          </w:tcPr>
          <w:p>
            <w:pPr>
              <w:rPr>
                <w:color w:val="000000" w:themeColor="text1"/>
              </w:rPr>
            </w:pPr>
          </w:p>
        </w:tc>
        <w:tc>
          <w:tcPr>
            <w:tcW w:w="1560" w:type="dxa"/>
          </w:tcPr>
          <w:p>
            <w:pPr>
              <w:rPr>
                <w:color w:val="000000" w:themeColor="text1"/>
              </w:rPr>
            </w:pPr>
          </w:p>
        </w:tc>
        <w:tc>
          <w:tcPr>
            <w:tcW w:w="2965" w:type="dxa"/>
          </w:tcPr>
          <w:p>
            <w:pPr>
              <w:rPr>
                <w:color w:val="000000" w:themeColor="text1"/>
              </w:rPr>
            </w:pPr>
            <w:r>
              <w:rPr>
                <w:rFonts w:hint="eastAsia"/>
                <w:color w:val="000000" w:themeColor="text1"/>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000000" w:themeColor="text1"/>
              </w:rPr>
            </w:pPr>
            <w:r>
              <w:rPr>
                <w:rFonts w:hint="eastAsia"/>
                <w:color w:val="000000" w:themeColor="text1"/>
              </w:rPr>
              <w:t>EMS</w:t>
            </w:r>
          </w:p>
        </w:tc>
        <w:tc>
          <w:tcPr>
            <w:tcW w:w="1698" w:type="dxa"/>
          </w:tcPr>
          <w:p>
            <w:pPr>
              <w:rPr>
                <w:color w:val="000000" w:themeColor="text1"/>
              </w:rPr>
            </w:pPr>
          </w:p>
        </w:tc>
        <w:tc>
          <w:tcPr>
            <w:tcW w:w="1717" w:type="dxa"/>
          </w:tcPr>
          <w:p>
            <w:pPr>
              <w:rPr>
                <w:color w:val="000000" w:themeColor="text1"/>
              </w:rPr>
            </w:pPr>
          </w:p>
        </w:tc>
        <w:tc>
          <w:tcPr>
            <w:tcW w:w="1560" w:type="dxa"/>
          </w:tcPr>
          <w:p>
            <w:pPr>
              <w:rPr>
                <w:color w:val="000000" w:themeColor="text1"/>
              </w:rPr>
            </w:pPr>
          </w:p>
        </w:tc>
        <w:tc>
          <w:tcPr>
            <w:tcW w:w="2965" w:type="dxa"/>
          </w:tcPr>
          <w:p>
            <w:pPr>
              <w:rPr>
                <w:color w:val="000000" w:themeColor="text1"/>
              </w:rPr>
            </w:pPr>
            <w:r>
              <w:rPr>
                <w:rFonts w:hint="eastAsia"/>
                <w:color w:val="000000" w:themeColor="text1"/>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000000" w:themeColor="text1"/>
              </w:rPr>
            </w:pPr>
            <w:r>
              <w:rPr>
                <w:rFonts w:hint="eastAsia"/>
                <w:color w:val="000000" w:themeColor="text1"/>
              </w:rPr>
              <w:t>OHSMS</w:t>
            </w:r>
          </w:p>
        </w:tc>
        <w:tc>
          <w:tcPr>
            <w:tcW w:w="1698" w:type="dxa"/>
          </w:tcPr>
          <w:p>
            <w:pPr>
              <w:rPr>
                <w:color w:val="000000" w:themeColor="text1"/>
              </w:rPr>
            </w:pPr>
          </w:p>
        </w:tc>
        <w:tc>
          <w:tcPr>
            <w:tcW w:w="1717" w:type="dxa"/>
          </w:tcPr>
          <w:p>
            <w:pPr>
              <w:rPr>
                <w:color w:val="000000" w:themeColor="text1"/>
              </w:rPr>
            </w:pPr>
          </w:p>
        </w:tc>
        <w:tc>
          <w:tcPr>
            <w:tcW w:w="1560" w:type="dxa"/>
          </w:tcPr>
          <w:p>
            <w:pPr>
              <w:rPr>
                <w:color w:val="000000" w:themeColor="text1"/>
              </w:rPr>
            </w:pPr>
          </w:p>
        </w:tc>
        <w:tc>
          <w:tcPr>
            <w:tcW w:w="2965" w:type="dxa"/>
          </w:tcPr>
          <w:p>
            <w:pPr>
              <w:rPr>
                <w:color w:val="000000" w:themeColor="text1"/>
              </w:rPr>
            </w:pPr>
            <w:r>
              <w:rPr>
                <w:rFonts w:hint="eastAsia"/>
                <w:color w:val="000000" w:themeColor="text1"/>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开关柜防凝露系统研发、销售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开关柜防凝露系统研发、销售及其所涉及的相关环境管理活动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开关柜防凝露系统研发、销售及其所涉及的相关职业健康安全管理活动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pPr>
              <w:rPr>
                <w:color w:val="000000" w:themeColor="text1"/>
              </w:rPr>
            </w:pPr>
            <w:r>
              <w:rPr>
                <w:rFonts w:hint="eastAsia"/>
                <w:color w:val="000000" w:themeColor="text1"/>
              </w:rPr>
              <w:t>审核组推荐意见</w:t>
            </w:r>
          </w:p>
          <w:p>
            <w:pPr>
              <w:rPr>
                <w:color w:val="000000" w:themeColor="text1"/>
              </w:rPr>
            </w:pPr>
          </w:p>
        </w:tc>
        <w:tc>
          <w:tcPr>
            <w:tcW w:w="8350" w:type="dxa"/>
            <w:gridSpan w:val="2"/>
            <w:shd w:val="clear" w:color="auto" w:fill="auto"/>
          </w:tcPr>
          <w:p>
            <w:pPr>
              <w:rPr>
                <w:color w:val="000000" w:themeColor="text1"/>
              </w:rPr>
            </w:pPr>
            <w:r>
              <w:rPr>
                <w:rFonts w:hint="eastAsia"/>
                <w:color w:val="000000" w:themeColor="text1"/>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pPr>
              <w:rPr>
                <w:color w:val="000000" w:themeColor="text1"/>
              </w:rPr>
            </w:pPr>
          </w:p>
        </w:tc>
        <w:tc>
          <w:tcPr>
            <w:tcW w:w="8350" w:type="dxa"/>
            <w:gridSpan w:val="2"/>
            <w:shd w:val="clear" w:color="auto" w:fill="auto"/>
          </w:tcPr>
          <w:p>
            <w:pPr>
              <w:rPr>
                <w:color w:val="000000" w:themeColor="text1"/>
              </w:rPr>
            </w:pPr>
            <w:r>
              <w:rPr>
                <w:rFonts w:hint="eastAsia"/>
                <w:color w:val="000000" w:themeColor="text1"/>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pPr>
              <w:rPr>
                <w:color w:val="000000" w:themeColor="text1"/>
              </w:rPr>
            </w:pPr>
          </w:p>
        </w:tc>
        <w:tc>
          <w:tcPr>
            <w:tcW w:w="8350" w:type="dxa"/>
            <w:gridSpan w:val="2"/>
            <w:shd w:val="clear" w:color="auto" w:fill="auto"/>
          </w:tcPr>
          <w:p>
            <w:pPr>
              <w:rPr>
                <w:color w:val="000000" w:themeColor="text1"/>
              </w:rPr>
            </w:pPr>
            <w:r>
              <w:rPr>
                <w:rFonts w:hint="eastAsia"/>
                <w:color w:val="000000" w:themeColor="text1"/>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pPr>
              <w:rPr>
                <w:color w:val="000000" w:themeColor="text1"/>
              </w:rPr>
            </w:pPr>
          </w:p>
        </w:tc>
        <w:tc>
          <w:tcPr>
            <w:tcW w:w="8350" w:type="dxa"/>
            <w:gridSpan w:val="2"/>
            <w:shd w:val="clear" w:color="auto" w:fill="auto"/>
          </w:tcPr>
          <w:p>
            <w:pPr>
              <w:rPr>
                <w:color w:val="000000" w:themeColor="text1"/>
              </w:rPr>
            </w:pPr>
            <w:r>
              <w:rPr>
                <w:rFonts w:hint="eastAsia"/>
                <w:color w:val="000000" w:themeColor="text1"/>
                <w:lang w:eastAsia="zh-CN"/>
              </w:rPr>
              <w:t>☑</w:t>
            </w:r>
            <w:r>
              <w:rPr>
                <w:rFonts w:hint="eastAsia"/>
                <w:color w:val="000000" w:themeColor="text1"/>
              </w:rPr>
              <w:t>在完成纠正措施后推荐保持认证注册(</w:t>
            </w:r>
            <w:r>
              <w:rPr>
                <w:rFonts w:hint="eastAsia"/>
                <w:color w:val="000000" w:themeColor="text1"/>
                <w:lang w:eastAsia="zh-CN"/>
              </w:rPr>
              <w:t>☑</w:t>
            </w:r>
            <w:r>
              <w:rPr>
                <w:rFonts w:hint="eastAsia"/>
                <w:color w:val="000000" w:themeColor="text1"/>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2336" behindDoc="0" locked="0" layoutInCell="1" allowOverlap="1">
                  <wp:simplePos x="0" y="0"/>
                  <wp:positionH relativeFrom="column">
                    <wp:posOffset>130175</wp:posOffset>
                  </wp:positionH>
                  <wp:positionV relativeFrom="paragraph">
                    <wp:posOffset>37465</wp:posOffset>
                  </wp:positionV>
                  <wp:extent cx="371475" cy="341630"/>
                  <wp:effectExtent l="0" t="0" r="9525" b="127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val="0"/>
                <w:bCs/>
                <w:color w:val="000000" w:themeColor="text1"/>
                <w:szCs w:val="21"/>
                <w:lang w:val="en-US" w:eastAsia="zh-CN"/>
              </w:rPr>
              <w:t>2021.12.27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价值观□文化</w:t>
                  </w:r>
                  <w:r>
                    <w:rPr>
                      <w:rFonts w:hint="eastAsia"/>
                      <w:lang w:eastAsia="zh-CN"/>
                    </w:rPr>
                    <w:t>☑</w:t>
                  </w:r>
                  <w:r>
                    <w:rPr>
                      <w:rFonts w:hint="eastAsia"/>
                    </w:rPr>
                    <w:t>知识□绩效□工艺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人员能力□检测水平□合同评审□知识保密</w:t>
            </w:r>
          </w:p>
          <w:p>
            <w:pPr>
              <w:shd w:val="clear" w:color="auto" w:fill="C7DAF1" w:themeFill="text2" w:themeFillTint="32"/>
              <w:spacing w:before="40" w:after="40"/>
            </w:pPr>
            <w:r>
              <w:rPr>
                <w:rFonts w:hint="eastAsia"/>
                <w:lang w:eastAsia="zh-CN"/>
              </w:rPr>
              <w:t>☑</w:t>
            </w:r>
            <w:r>
              <w:rPr>
                <w:rFonts w:hint="eastAsia"/>
              </w:rPr>
              <w:t>新产品设计开发□原材料采购□外部供方控制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最高管理者制定了文件化的管理体系方针：精益求精 创“林克斯”新优势</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632"/>
              <w:gridCol w:w="185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质量目标</w:t>
                  </w:r>
                </w:p>
              </w:tc>
              <w:tc>
                <w:tcPr>
                  <w:tcW w:w="2632" w:type="dxa"/>
                  <w:shd w:val="clear" w:color="auto" w:fill="auto"/>
                </w:tcPr>
                <w:p>
                  <w:pPr>
                    <w:shd w:val="clear" w:color="auto" w:fill="C7DAF1" w:themeFill="text2" w:themeFillTint="32"/>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计算方法</w:t>
                  </w:r>
                </w:p>
              </w:tc>
              <w:tc>
                <w:tcPr>
                  <w:tcW w:w="1854" w:type="dxa"/>
                  <w:shd w:val="clear" w:color="auto" w:fill="auto"/>
                </w:tcPr>
                <w:p>
                  <w:pPr>
                    <w:shd w:val="clear" w:color="auto" w:fill="C7DAF1" w:themeFill="text2" w:themeFillTint="32"/>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责任部门</w:t>
                  </w:r>
                </w:p>
              </w:tc>
              <w:tc>
                <w:tcPr>
                  <w:tcW w:w="1774" w:type="dxa"/>
                  <w:shd w:val="clear" w:color="auto" w:fill="auto"/>
                </w:tcPr>
                <w:p>
                  <w:pPr>
                    <w:shd w:val="clear" w:color="auto" w:fill="C7DAF1" w:themeFill="text2" w:themeFillTint="32"/>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产品交付合格率100%；</w:t>
                  </w:r>
                </w:p>
              </w:tc>
              <w:tc>
                <w:tcPr>
                  <w:tcW w:w="2632" w:type="dxa"/>
                  <w:shd w:val="clear" w:color="auto" w:fill="auto"/>
                  <w:vAlign w:val="center"/>
                </w:tcPr>
                <w:p>
                  <w:pPr>
                    <w:shd w:val="clear" w:color="auto" w:fill="C7DAF1" w:themeFill="text2" w:themeFillTint="32"/>
                    <w:rPr>
                      <w:rFonts w:hint="eastAsia"/>
                      <w:color w:val="000000" w:themeColor="text1"/>
                      <w:sz w:val="18"/>
                      <w:szCs w:val="18"/>
                      <w:lang w:val="en-GB" w:eastAsia="zh-CN"/>
                      <w14:textFill>
                        <w14:solidFill>
                          <w14:schemeClr w14:val="tx1"/>
                        </w14:solidFill>
                      </w14:textFill>
                    </w:rPr>
                  </w:pPr>
                  <w:r>
                    <w:rPr>
                      <w:rFonts w:hint="eastAsia"/>
                      <w:color w:val="000000" w:themeColor="text1"/>
                      <w:sz w:val="18"/>
                      <w:szCs w:val="18"/>
                      <w14:textFill>
                        <w14:solidFill>
                          <w14:schemeClr w14:val="tx1"/>
                        </w14:solidFill>
                      </w14:textFill>
                    </w:rPr>
                    <w:t>交付合格数/交付总数*100%</w:t>
                  </w:r>
                </w:p>
              </w:tc>
              <w:tc>
                <w:tcPr>
                  <w:tcW w:w="1854" w:type="dxa"/>
                  <w:shd w:val="clear" w:color="auto" w:fill="auto"/>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销售技术服务部</w:t>
                  </w:r>
                </w:p>
              </w:tc>
              <w:tc>
                <w:tcPr>
                  <w:tcW w:w="1774" w:type="dxa"/>
                  <w:shd w:val="clear" w:color="auto" w:fill="auto"/>
                  <w:vAlign w:val="center"/>
                </w:tcPr>
                <w:p>
                  <w:pPr>
                    <w:shd w:val="clear" w:color="auto" w:fill="C7DAF1" w:themeFill="text2" w:themeFillTint="32"/>
                    <w:jc w:val="center"/>
                    <w:rPr>
                      <w:rFonts w:ascii="宋体" w:hAnsi="宋体"/>
                      <w:color w:val="000000" w:themeColor="text1"/>
                      <w:lang w:val="en-GB"/>
                      <w14:textFill>
                        <w14:solidFill>
                          <w14:schemeClr w14:val="tx1"/>
                        </w14:solidFill>
                      </w14:textFill>
                    </w:rPr>
                  </w:pPr>
                  <w:r>
                    <w:rPr>
                      <w:rFonts w:hint="eastAsia"/>
                      <w:color w:val="000000" w:themeColor="text1"/>
                      <w:sz w:val="18"/>
                      <w:szCs w:val="18"/>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合同按时完成率100%</w:t>
                  </w:r>
                </w:p>
              </w:tc>
              <w:tc>
                <w:tcPr>
                  <w:tcW w:w="2632" w:type="dxa"/>
                  <w:shd w:val="clear" w:color="auto" w:fill="auto"/>
                  <w:vAlign w:val="center"/>
                </w:tcPr>
                <w:p>
                  <w:pPr>
                    <w:shd w:val="clear" w:color="auto" w:fill="C7DAF1" w:themeFill="text2" w:themeFillTint="32"/>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按时完成数/合同总数*100%</w:t>
                  </w:r>
                </w:p>
              </w:tc>
              <w:tc>
                <w:tcPr>
                  <w:tcW w:w="1854" w:type="dxa"/>
                  <w:shd w:val="clear" w:color="auto" w:fill="auto"/>
                  <w:vAlign w:val="center"/>
                </w:tcPr>
                <w:p>
                  <w:pPr>
                    <w:shd w:val="clear" w:color="auto" w:fill="C7DAF1" w:themeFill="text2" w:themeFillTint="32"/>
                    <w:rPr>
                      <w:rFonts w:ascii="宋体" w:hAnsi="宋体"/>
                      <w:color w:val="000000" w:themeColor="text1"/>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销售技术服务部</w:t>
                  </w:r>
                </w:p>
              </w:tc>
              <w:tc>
                <w:tcPr>
                  <w:tcW w:w="1774" w:type="dxa"/>
                  <w:shd w:val="clear" w:color="auto" w:fill="auto"/>
                  <w:vAlign w:val="center"/>
                </w:tcPr>
                <w:p>
                  <w:pPr>
                    <w:shd w:val="clear" w:color="auto" w:fill="C7DAF1" w:themeFill="text2" w:themeFillTint="32"/>
                    <w:jc w:val="center"/>
                    <w:rPr>
                      <w:rFonts w:ascii="宋体" w:hAnsi="宋体"/>
                      <w:color w:val="000000" w:themeColor="text1"/>
                      <w14:textFill>
                        <w14:solidFill>
                          <w14:schemeClr w14:val="tx1"/>
                        </w14:solidFill>
                      </w14:textFill>
                    </w:rPr>
                  </w:pPr>
                  <w:r>
                    <w:rPr>
                      <w:rFonts w:hint="eastAsia"/>
                      <w:color w:val="000000" w:themeColor="text1"/>
                      <w:sz w:val="18"/>
                      <w:szCs w:val="18"/>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顾客满意度≥92分；</w:t>
                  </w:r>
                </w:p>
              </w:tc>
              <w:tc>
                <w:tcPr>
                  <w:tcW w:w="2632" w:type="dxa"/>
                  <w:shd w:val="clear" w:color="auto" w:fill="auto"/>
                  <w:vAlign w:val="center"/>
                </w:tcPr>
                <w:p>
                  <w:pPr>
                    <w:shd w:val="clear" w:color="auto" w:fill="C7DAF1" w:themeFill="text2" w:themeFillTint="32"/>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满意得分和/总调查数</w:t>
                  </w:r>
                </w:p>
              </w:tc>
              <w:tc>
                <w:tcPr>
                  <w:tcW w:w="1854" w:type="dxa"/>
                  <w:shd w:val="clear" w:color="auto" w:fill="auto"/>
                  <w:vAlign w:val="center"/>
                </w:tcPr>
                <w:p>
                  <w:pPr>
                    <w:shd w:val="clear" w:color="auto" w:fill="C7DAF1" w:themeFill="text2" w:themeFillTint="32"/>
                    <w:rPr>
                      <w:rFonts w:ascii="宋体" w:hAnsi="宋体"/>
                      <w:color w:val="000000" w:themeColor="text1"/>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销售技术服务部</w:t>
                  </w:r>
                </w:p>
              </w:tc>
              <w:tc>
                <w:tcPr>
                  <w:tcW w:w="1774" w:type="dxa"/>
                  <w:shd w:val="clear" w:color="auto" w:fill="auto"/>
                  <w:vAlign w:val="center"/>
                </w:tcPr>
                <w:p>
                  <w:pPr>
                    <w:shd w:val="clear" w:color="auto" w:fill="C7DAF1" w:themeFill="text2" w:themeFillTint="32"/>
                    <w:jc w:val="center"/>
                    <w:rPr>
                      <w:rFonts w:hint="default" w:ascii="宋体" w:hAnsi="宋体" w:eastAsia="宋体"/>
                      <w:color w:val="000000" w:themeColor="text1"/>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98.4分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color w:val="000000" w:themeColor="text1"/>
                      <w14:textFill>
                        <w14:solidFill>
                          <w14:schemeClr w14:val="tx1"/>
                        </w14:solidFill>
                      </w14:textFill>
                    </w:rPr>
                  </w:pPr>
                </w:p>
              </w:tc>
              <w:tc>
                <w:tcPr>
                  <w:tcW w:w="2632" w:type="dxa"/>
                  <w:shd w:val="clear" w:color="auto" w:fill="auto"/>
                  <w:vAlign w:val="center"/>
                </w:tcPr>
                <w:p>
                  <w:pPr>
                    <w:shd w:val="clear" w:color="auto" w:fill="C7DAF1" w:themeFill="text2" w:themeFillTint="32"/>
                    <w:rPr>
                      <w:rFonts w:ascii="宋体" w:hAnsi="宋体"/>
                      <w:color w:val="000000" w:themeColor="text1"/>
                      <w14:textFill>
                        <w14:solidFill>
                          <w14:schemeClr w14:val="tx1"/>
                        </w14:solidFill>
                      </w14:textFill>
                    </w:rPr>
                  </w:pPr>
                </w:p>
              </w:tc>
              <w:tc>
                <w:tcPr>
                  <w:tcW w:w="1854" w:type="dxa"/>
                  <w:shd w:val="clear" w:color="auto" w:fill="auto"/>
                  <w:vAlign w:val="center"/>
                </w:tcPr>
                <w:p>
                  <w:pPr>
                    <w:shd w:val="clear" w:color="auto" w:fill="C7DAF1" w:themeFill="text2" w:themeFillTint="32"/>
                    <w:rPr>
                      <w:rFonts w:ascii="宋体" w:hAnsi="宋体"/>
                      <w:color w:val="000000" w:themeColor="text1"/>
                      <w14:textFill>
                        <w14:solidFill>
                          <w14:schemeClr w14:val="tx1"/>
                        </w14:solidFill>
                      </w14:textFill>
                    </w:rPr>
                  </w:pPr>
                </w:p>
              </w:tc>
              <w:tc>
                <w:tcPr>
                  <w:tcW w:w="1774" w:type="dxa"/>
                  <w:shd w:val="clear" w:color="auto" w:fill="auto"/>
                  <w:vAlign w:val="center"/>
                </w:tcPr>
                <w:p>
                  <w:pPr>
                    <w:shd w:val="clear" w:color="auto" w:fill="C7DAF1" w:themeFill="text2" w:themeFillTint="32"/>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color w:val="000000" w:themeColor="text1"/>
                      <w14:textFill>
                        <w14:solidFill>
                          <w14:schemeClr w14:val="tx1"/>
                        </w14:solidFill>
                      </w14:textFill>
                    </w:rPr>
                  </w:pPr>
                </w:p>
              </w:tc>
              <w:tc>
                <w:tcPr>
                  <w:tcW w:w="2632" w:type="dxa"/>
                  <w:shd w:val="clear" w:color="auto" w:fill="auto"/>
                  <w:vAlign w:val="center"/>
                </w:tcPr>
                <w:p>
                  <w:pPr>
                    <w:shd w:val="clear" w:color="auto" w:fill="C7DAF1" w:themeFill="text2" w:themeFillTint="32"/>
                    <w:rPr>
                      <w:rFonts w:ascii="宋体" w:hAnsi="宋体"/>
                      <w:color w:val="000000" w:themeColor="text1"/>
                      <w14:textFill>
                        <w14:solidFill>
                          <w14:schemeClr w14:val="tx1"/>
                        </w14:solidFill>
                      </w14:textFill>
                    </w:rPr>
                  </w:pPr>
                </w:p>
              </w:tc>
              <w:tc>
                <w:tcPr>
                  <w:tcW w:w="1854" w:type="dxa"/>
                  <w:shd w:val="clear" w:color="auto" w:fill="auto"/>
                  <w:vAlign w:val="center"/>
                </w:tcPr>
                <w:p>
                  <w:pPr>
                    <w:shd w:val="clear" w:color="auto" w:fill="C7DAF1" w:themeFill="text2" w:themeFillTint="32"/>
                    <w:rPr>
                      <w:rFonts w:ascii="宋体" w:hAnsi="宋体"/>
                      <w:color w:val="000000" w:themeColor="text1"/>
                      <w14:textFill>
                        <w14:solidFill>
                          <w14:schemeClr w14:val="tx1"/>
                        </w14:solidFill>
                      </w14:textFill>
                    </w:rPr>
                  </w:pPr>
                </w:p>
              </w:tc>
              <w:tc>
                <w:tcPr>
                  <w:tcW w:w="1774" w:type="dxa"/>
                  <w:shd w:val="clear" w:color="auto" w:fill="auto"/>
                  <w:vAlign w:val="center"/>
                </w:tcPr>
                <w:p>
                  <w:pPr>
                    <w:shd w:val="clear" w:color="auto" w:fill="C7DAF1" w:themeFill="text2" w:themeFillTint="32"/>
                    <w:jc w:val="center"/>
                    <w:rPr>
                      <w:rFonts w:ascii="宋体" w:hAnsi="宋体"/>
                      <w:color w:val="000000" w:themeColor="text1"/>
                      <w14:textFill>
                        <w14:solidFill>
                          <w14:schemeClr w14:val="tx1"/>
                        </w14:solidFill>
                      </w14:textFill>
                    </w:rPr>
                  </w:pPr>
                </w:p>
              </w:tc>
            </w:tr>
          </w:tbl>
          <w:p>
            <w:pPr>
              <w:shd w:val="clear" w:color="auto" w:fill="C7DAF1" w:themeFill="text2" w:themeFillTint="32"/>
            </w:pPr>
            <w:r>
              <w:rPr>
                <w:rFonts w:hint="eastAsia" w:ascii="Wingdings" w:hAnsi="Wingdings"/>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组织应确定、提供并维护所需的基础设施情况：</w:t>
            </w:r>
          </w:p>
          <w:p>
            <w:pPr>
              <w:shd w:val="clear" w:color="auto" w:fill="C7DAF1" w:themeFill="text2" w:themeFillTint="32"/>
              <w:rPr>
                <w:color w:val="000000" w:themeColor="text1"/>
              </w:rPr>
            </w:pPr>
            <w:r>
              <w:rPr>
                <w:rFonts w:hint="eastAsia"/>
                <w:color w:val="000000" w:themeColor="text1"/>
              </w:rPr>
              <w:t>建筑面积</w:t>
            </w:r>
            <w:r>
              <w:rPr>
                <w:rFonts w:hint="eastAsia"/>
                <w:color w:val="000000" w:themeColor="text1"/>
                <w:lang w:val="en-US" w:eastAsia="zh-CN"/>
              </w:rPr>
              <w:t>200</w:t>
            </w:r>
            <w:r>
              <w:rPr>
                <w:rFonts w:hint="eastAsia"/>
                <w:color w:val="000000" w:themeColor="text1"/>
              </w:rPr>
              <w:t>平方米；生产车间</w:t>
            </w:r>
            <w:r>
              <w:rPr>
                <w:rFonts w:hint="eastAsia"/>
                <w:color w:val="000000" w:themeColor="text1"/>
                <w:lang w:val="en-US" w:eastAsia="zh-CN"/>
              </w:rPr>
              <w:t>0</w:t>
            </w:r>
            <w:r>
              <w:rPr>
                <w:rFonts w:hint="eastAsia"/>
                <w:color w:val="000000" w:themeColor="text1"/>
              </w:rPr>
              <w:t>个；库房</w:t>
            </w:r>
            <w:r>
              <w:rPr>
                <w:rFonts w:hint="eastAsia"/>
                <w:color w:val="000000" w:themeColor="text1"/>
                <w:lang w:val="en-US" w:eastAsia="zh-CN"/>
              </w:rPr>
              <w:t>0</w:t>
            </w:r>
            <w:r>
              <w:rPr>
                <w:rFonts w:hint="eastAsia"/>
                <w:color w:val="000000" w:themeColor="text1"/>
              </w:rPr>
              <w:t>个；实验室</w:t>
            </w:r>
            <w:r>
              <w:rPr>
                <w:rFonts w:hint="eastAsia"/>
                <w:color w:val="000000" w:themeColor="text1"/>
                <w:lang w:val="en-US" w:eastAsia="zh-CN"/>
              </w:rPr>
              <w:t>0</w:t>
            </w:r>
            <w:r>
              <w:rPr>
                <w:rFonts w:hint="eastAsia"/>
                <w:color w:val="000000" w:themeColor="text1"/>
              </w:rPr>
              <w:t>个；</w:t>
            </w:r>
          </w:p>
          <w:p>
            <w:pPr>
              <w:shd w:val="clear" w:color="auto" w:fill="C7DAF1" w:themeFill="text2" w:themeFillTint="32"/>
              <w:rPr>
                <w:color w:val="000000" w:themeColor="text1"/>
                <w:u w:val="single"/>
              </w:rPr>
            </w:pPr>
            <w:r>
              <w:rPr>
                <w:rFonts w:hint="eastAsia"/>
                <w:color w:val="000000" w:themeColor="text1"/>
              </w:rPr>
              <w:t>主要生产设备有：</w:t>
            </w:r>
            <w:r>
              <w:rPr>
                <w:rFonts w:hint="eastAsia"/>
                <w:color w:val="000000" w:themeColor="text1"/>
                <w:u w:val="single"/>
              </w:rPr>
              <w:t>电脑、打印机、设计开发软件、空调、办公桌等办公设施</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（万用表、示波器、信号分析仪）</w:t>
            </w:r>
          </w:p>
          <w:p>
            <w:pPr>
              <w:shd w:val="clear" w:color="auto" w:fill="C7DAF1" w:themeFill="text2" w:themeFillTint="32"/>
              <w:rPr>
                <w:rFonts w:hint="eastAsia" w:eastAsia="宋体"/>
                <w:u w:val="single"/>
                <w:lang w:eastAsia="zh-CN"/>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bookmarkStart w:id="34" w:name="_GoBack"/>
            <w:r>
              <w:rPr>
                <w:rFonts w:hint="eastAsia"/>
              </w:rPr>
              <w:t>万用表、示波器、信号分析仪</w:t>
            </w:r>
            <w:bookmarkEnd w:id="34"/>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组织建立、实施和保持了适当的设计和开发过程，以确保后续的产品和服务的提供。（适用时）</w:t>
            </w:r>
          </w:p>
          <w:p>
            <w:pPr>
              <w:shd w:val="clear" w:color="auto" w:fill="C7DAF1" w:themeFill="text2" w:themeFillTint="32"/>
              <w:rPr>
                <w:color w:val="000000" w:themeColor="text1"/>
              </w:rPr>
            </w:pPr>
            <w:r>
              <w:rPr>
                <w:rFonts w:hint="eastAsia"/>
                <w:color w:val="000000" w:themeColor="text1"/>
              </w:rPr>
              <w:t>审核期间内设计和开发新产品/项目名称：</w:t>
            </w:r>
            <w:r>
              <w:rPr>
                <w:rFonts w:hint="eastAsia"/>
                <w:color w:val="000000" w:themeColor="text1"/>
                <w:u w:val="single"/>
              </w:rPr>
              <w:t>（国网四川雅安名山110KV前进变电站35KV高压开关柜智能防凝露系统设计项目</w:t>
            </w:r>
            <w:r>
              <w:rPr>
                <w:rFonts w:hint="eastAsia"/>
                <w:color w:val="000000" w:themeColor="text1"/>
              </w:rPr>
              <w:t>）</w:t>
            </w:r>
          </w:p>
          <w:p>
            <w:pPr>
              <w:shd w:val="clear" w:color="auto" w:fill="C7DAF1" w:themeFill="text2" w:themeFillTint="32"/>
              <w:rPr>
                <w:color w:val="000000" w:themeColor="text1"/>
              </w:rPr>
            </w:pPr>
            <w:r>
              <w:rPr>
                <w:rFonts w:hint="eastAsia"/>
                <w:color w:val="000000" w:themeColor="text1"/>
              </w:rPr>
              <w:t>该项目的设计和开发的输入、输出、变更进行了控制。</w:t>
            </w:r>
          </w:p>
          <w:p>
            <w:pPr>
              <w:shd w:val="clear" w:color="auto" w:fill="C7DAF1" w:themeFill="text2" w:themeFillTint="32"/>
            </w:pPr>
            <w:r>
              <w:rPr>
                <w:rFonts w:hint="eastAsia"/>
                <w:color w:val="000000" w:themeColor="text1"/>
              </w:rPr>
              <w:t>设计和开发控制：</w:t>
            </w:r>
            <w:r>
              <w:rPr>
                <w:rFonts w:hint="eastAsia" w:ascii="Wingdings" w:hAnsi="Wingdings"/>
                <w:color w:val="000000" w:themeColor="text1"/>
                <w:lang w:eastAsia="zh-CN"/>
              </w:rPr>
              <w:t>☑</w:t>
            </w:r>
            <w:r>
              <w:rPr>
                <w:rFonts w:hint="eastAsia"/>
                <w:color w:val="000000" w:themeColor="text1"/>
              </w:rPr>
              <w:t>符合要求</w:t>
            </w:r>
            <w:r>
              <w:rPr>
                <w:rFonts w:hint="eastAsia" w:ascii="Wingdings" w:hAnsi="Wingdings"/>
                <w:color w:val="000000" w:themeColor="text1"/>
                <w:lang w:eastAsia="zh-CN"/>
              </w:rPr>
              <w:t>□</w:t>
            </w:r>
            <w:r>
              <w:rPr>
                <w:rFonts w:hint="eastAsia"/>
                <w:color w:val="000000" w:themeColor="text1"/>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r>
                    <w:rPr>
                      <w:sz w:val="20"/>
                    </w:rPr>
                    <w:t>开关柜防凝露系统研发、销售</w:t>
                  </w:r>
                </w:p>
              </w:tc>
              <w:tc>
                <w:tcPr>
                  <w:tcW w:w="3665" w:type="dxa"/>
                </w:tcPr>
                <w:p>
                  <w:pPr>
                    <w:shd w:val="clear" w:color="auto" w:fill="C7DAF1" w:themeFill="text2" w:themeFillTint="32"/>
                    <w:jc w:val="left"/>
                    <w:rPr>
                      <w:rFonts w:hint="eastAsia" w:eastAsia="宋体"/>
                      <w:lang w:eastAsia="zh-CN"/>
                    </w:rPr>
                  </w:pPr>
                  <w:r>
                    <w:rPr>
                      <w:rFonts w:hint="eastAsia"/>
                      <w:lang w:eastAsia="zh-CN"/>
                    </w:rPr>
                    <w:t>研发、销售</w:t>
                  </w:r>
                </w:p>
              </w:tc>
              <w:tc>
                <w:tcPr>
                  <w:tcW w:w="3265" w:type="dxa"/>
                </w:tcPr>
                <w:p>
                  <w:pPr>
                    <w:shd w:val="clear" w:color="auto" w:fill="C7DAF1" w:themeFill="text2" w:themeFillTint="32"/>
                    <w:jc w:val="left"/>
                    <w:rPr>
                      <w:rFonts w:hint="eastAsia" w:eastAsia="宋体"/>
                      <w:lang w:eastAsia="zh-CN"/>
                    </w:rPr>
                  </w:pPr>
                  <w:r>
                    <w:rPr>
                      <w:rFonts w:hint="eastAsia"/>
                      <w:lang w:eastAsia="zh-CN"/>
                    </w:rPr>
                    <w:t>研发合格率、顾客满意度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eastAsia="zh-CN"/>
              </w:rPr>
              <w:t>研发过程、销售过程</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组织已</w:t>
            </w:r>
            <w:r>
              <w:rPr>
                <w:rFonts w:hint="eastAsia"/>
                <w:color w:val="000000" w:themeColor="text1"/>
              </w:rPr>
              <w:fldChar w:fldCharType="begin"/>
            </w:r>
            <w:r>
              <w:rPr>
                <w:rFonts w:hint="eastAsia"/>
                <w:color w:val="000000" w:themeColor="text1"/>
              </w:rPr>
              <w:fldChar w:fldCharType="end"/>
            </w:r>
            <w:r>
              <w:rPr>
                <w:rFonts w:hint="eastAsia"/>
                <w:color w:val="000000" w:themeColor="text1"/>
              </w:rPr>
              <w:t>通过年度策划于2021年9月1日-2日实施了质量管理体系内部审核，对质量管理体系的符合性和有效性进行了审核。内审发现的项不符合在本次审核前已完成整改。在公司内完成的这些审核是可信的。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rPr>
                <w:color w:val="000000" w:themeColor="text1"/>
              </w:rPr>
            </w:pPr>
          </w:p>
          <w:p>
            <w:pPr>
              <w:shd w:val="clear" w:color="auto" w:fill="C7DAF1" w:themeFill="text2" w:themeFillTint="32"/>
              <w:rPr>
                <w:color w:val="000000" w:themeColor="text1"/>
              </w:rPr>
            </w:pPr>
            <w:r>
              <w:rPr>
                <w:rFonts w:hint="eastAsia"/>
                <w:color w:val="000000" w:themeColor="text1"/>
              </w:rPr>
              <w:t>若是组织多场所/临时场所：（按照组织的实际情况选择）</w:t>
            </w:r>
          </w:p>
          <w:p>
            <w:pPr>
              <w:shd w:val="clear" w:color="auto" w:fill="C7DAF1" w:themeFill="text2" w:themeFillTint="32"/>
              <w:rPr>
                <w:color w:val="000000" w:themeColor="text1"/>
              </w:rPr>
            </w:pPr>
            <w:r>
              <w:rPr>
                <w:rFonts w:hint="eastAsia" w:ascii="Wingdings" w:hAnsi="Wingdings"/>
                <w:color w:val="000000" w:themeColor="text1"/>
                <w:lang w:eastAsia="zh-CN"/>
              </w:rPr>
              <w:t>□</w:t>
            </w:r>
            <w:r>
              <w:rPr>
                <w:rFonts w:hint="eastAsia"/>
                <w:color w:val="000000" w:themeColor="text1"/>
              </w:rPr>
              <w:t>内审贯穿了多场所/临时现场，内审的验证结论是正面的。管理者代表相应的职权覆盖了所有的场所。）</w:t>
            </w:r>
          </w:p>
          <w:p>
            <w:pPr>
              <w:shd w:val="clear" w:color="auto" w:fill="C7DAF1" w:themeFill="text2" w:themeFillTint="32"/>
              <w:rPr>
                <w:color w:val="000000" w:themeColor="text1"/>
              </w:rPr>
            </w:pPr>
          </w:p>
          <w:p>
            <w:pPr>
              <w:shd w:val="clear" w:color="auto" w:fill="C7DAF1" w:themeFill="text2" w:themeFillTint="32"/>
              <w:rPr>
                <w:color w:val="000000" w:themeColor="text1"/>
              </w:rPr>
            </w:pPr>
            <w:r>
              <w:rPr>
                <w:rFonts w:hint="eastAsia"/>
                <w:color w:val="000000" w:themeColor="text1"/>
              </w:rPr>
              <w:t>若是多班次操作：（按照组织的实际情况选择）</w:t>
            </w:r>
          </w:p>
          <w:p>
            <w:pPr>
              <w:shd w:val="clear" w:color="auto" w:fill="C7DAF1" w:themeFill="text2" w:themeFillTint="32"/>
              <w:rPr>
                <w:color w:val="000000" w:themeColor="text1"/>
              </w:rPr>
            </w:pPr>
            <w:r>
              <w:rPr>
                <w:rFonts w:hint="eastAsia" w:ascii="Wingdings" w:hAnsi="Wingdings"/>
                <w:color w:val="000000" w:themeColor="text1"/>
                <w:lang w:eastAsia="zh-CN"/>
              </w:rPr>
              <w:t>□</w:t>
            </w:r>
            <w:r>
              <w:rPr>
                <w:rFonts w:hint="eastAsia"/>
                <w:color w:val="000000" w:themeColor="text1"/>
              </w:rPr>
              <w:t>对所有班次的现场操作已审核。</w:t>
            </w:r>
          </w:p>
          <w:p>
            <w:pPr>
              <w:shd w:val="clear" w:color="auto" w:fill="C7DAF1" w:themeFill="text2" w:themeFillTint="32"/>
              <w:rPr>
                <w:color w:val="000000" w:themeColor="text1"/>
              </w:rPr>
            </w:pPr>
            <w:r>
              <w:rPr>
                <w:rFonts w:hint="eastAsia" w:ascii="Wingdings" w:hAnsi="Wingdings"/>
                <w:color w:val="000000" w:themeColor="text1"/>
                <w:lang w:eastAsia="zh-CN"/>
              </w:rPr>
              <w:t>□</w:t>
            </w:r>
            <w:r>
              <w:rPr>
                <w:rFonts w:hint="eastAsia"/>
                <w:color w:val="000000" w:themeColor="text1"/>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最高管理者已按策划的时间间隔，在2021年9月20日对组织的质量管理体系进行了评审，以确保其持续的适宜性、充分性和有效性；管理评审输入、输出均按要求提供。并对提出的改进措施进行了落实。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价值观□文化</w:t>
                  </w:r>
                  <w:r>
                    <w:rPr>
                      <w:rFonts w:hint="eastAsia"/>
                      <w:lang w:eastAsia="zh-CN"/>
                    </w:rPr>
                    <w:t>☑</w:t>
                  </w:r>
                  <w:r>
                    <w:rPr>
                      <w:rFonts w:hint="eastAsia"/>
                    </w:rPr>
                    <w:t>知识□绩效□工艺□设备</w:t>
                  </w:r>
                  <w:r>
                    <w:rPr>
                      <w:rFonts w:hint="eastAsia"/>
                      <w:lang w:eastAsia="zh-CN"/>
                    </w:rPr>
                    <w:t>☑</w:t>
                  </w:r>
                  <w:r>
                    <w:rPr>
                      <w:rFonts w:hint="eastAsia"/>
                    </w:rPr>
                    <w:t>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设计和开发</w:t>
            </w:r>
            <w:r>
              <w:rPr>
                <w:rFonts w:hint="eastAsia"/>
                <w:lang w:eastAsia="zh-CN"/>
              </w:rPr>
              <w:t>☑</w:t>
            </w:r>
            <w:r>
              <w:rPr>
                <w:rFonts w:hint="eastAsia"/>
              </w:rPr>
              <w:t>采购□人力资源</w:t>
            </w:r>
            <w:r>
              <w:rPr>
                <w:rFonts w:hint="eastAsia"/>
                <w:lang w:eastAsia="zh-CN"/>
              </w:rPr>
              <w:t>☑</w:t>
            </w:r>
            <w:r>
              <w:rPr>
                <w:rFonts w:hint="eastAsia"/>
              </w:rPr>
              <w:t>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节约能源□节约资源□达标排放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最高管理者制定了文件化的管理体系方针：坚持走可持续发展之路，倡导绿色环保思想，遵守法律法规，从产品研发到服务的全过程中，实行污染预防和持续改进</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潜在</w:t>
                  </w:r>
                  <w:r>
                    <w:rPr>
                      <w:rFonts w:hint="eastAsia" w:asciiTheme="minorEastAsia" w:hAnsiTheme="minorEastAsia" w:eastAsiaTheme="minorEastAsia"/>
                      <w:b w:val="0"/>
                      <w:bCs w:val="0"/>
                      <w:sz w:val="21"/>
                      <w:szCs w:val="21"/>
                    </w:rPr>
                    <w:t>火灾</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固废排放</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能源消耗□资源消耗□废水排放□废气排放□粉尘排放□危废排放□噪声排放□危化品泄露□压力容器爆炸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color w:val="000000" w:themeColor="text1"/>
                    </w:rPr>
                  </w:pPr>
                  <w:r>
                    <w:rPr>
                      <w:rFonts w:hint="eastAsia" w:ascii="宋体" w:hAnsi="宋体"/>
                      <w:color w:val="000000" w:themeColor="text1"/>
                    </w:rPr>
                    <w:t>环境目标</w:t>
                  </w:r>
                </w:p>
              </w:tc>
              <w:tc>
                <w:tcPr>
                  <w:tcW w:w="3136" w:type="dxa"/>
                  <w:shd w:val="clear" w:color="auto" w:fill="auto"/>
                </w:tcPr>
                <w:p>
                  <w:pPr>
                    <w:shd w:val="clear" w:color="auto" w:fill="EBF1DE" w:themeFill="accent3" w:themeFillTint="32"/>
                    <w:rPr>
                      <w:rFonts w:ascii="宋体" w:hAnsi="宋体"/>
                      <w:color w:val="000000" w:themeColor="text1"/>
                    </w:rPr>
                  </w:pPr>
                  <w:r>
                    <w:rPr>
                      <w:rFonts w:hint="eastAsia" w:ascii="宋体" w:hAnsi="宋体"/>
                      <w:color w:val="000000" w:themeColor="text1"/>
                    </w:rPr>
                    <w:t>控制措施</w:t>
                  </w:r>
                </w:p>
              </w:tc>
              <w:tc>
                <w:tcPr>
                  <w:tcW w:w="1350" w:type="dxa"/>
                  <w:shd w:val="clear" w:color="auto" w:fill="auto"/>
                </w:tcPr>
                <w:p>
                  <w:pPr>
                    <w:shd w:val="clear" w:color="auto" w:fill="EBF1DE" w:themeFill="accent3" w:themeFillTint="32"/>
                    <w:rPr>
                      <w:rFonts w:ascii="宋体" w:hAnsi="宋体"/>
                      <w:color w:val="000000" w:themeColor="text1"/>
                    </w:rPr>
                  </w:pPr>
                  <w:r>
                    <w:rPr>
                      <w:rFonts w:hint="eastAsia" w:ascii="宋体" w:hAnsi="宋体"/>
                      <w:color w:val="000000" w:themeColor="text1"/>
                    </w:rPr>
                    <w:t>责任部门</w:t>
                  </w:r>
                </w:p>
              </w:tc>
              <w:tc>
                <w:tcPr>
                  <w:tcW w:w="1774" w:type="dxa"/>
                  <w:shd w:val="clear" w:color="auto" w:fill="auto"/>
                </w:tcPr>
                <w:p>
                  <w:pPr>
                    <w:shd w:val="clear" w:color="auto" w:fill="EBF1DE" w:themeFill="accent3" w:themeFillTint="32"/>
                    <w:rPr>
                      <w:rFonts w:ascii="宋体" w:hAnsi="宋体"/>
                      <w:color w:val="000000" w:themeColor="text1"/>
                    </w:rPr>
                  </w:pPr>
                  <w:r>
                    <w:rPr>
                      <w:rFonts w:hint="eastAsia" w:ascii="宋体" w:hAnsi="宋体"/>
                      <w:color w:val="000000" w:themeColor="text1"/>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Times New Roman" w:hAnsi="Times New Roman" w:eastAsia="宋体" w:cs="Times New Roman"/>
                      <w:b w:val="0"/>
                      <w:bCs/>
                      <w:sz w:val="18"/>
                      <w:szCs w:val="18"/>
                      <w:lang w:val="en-US" w:eastAsia="zh-CN"/>
                    </w:rPr>
                  </w:pPr>
                  <w:r>
                    <w:rPr>
                      <w:rFonts w:hint="eastAsia" w:ascii="Times New Roman" w:hAnsi="Times New Roman" w:eastAsia="宋体" w:cs="Times New Roman"/>
                      <w:b w:val="0"/>
                      <w:bCs/>
                      <w:sz w:val="18"/>
                      <w:szCs w:val="18"/>
                    </w:rPr>
                    <w:t>办公废弃物分类收集处理率≥98%</w:t>
                  </w:r>
                </w:p>
              </w:tc>
              <w:tc>
                <w:tcPr>
                  <w:tcW w:w="3136" w:type="dxa"/>
                  <w:shd w:val="clear" w:color="auto" w:fill="auto"/>
                  <w:vAlign w:val="center"/>
                </w:tcPr>
                <w:p>
                  <w:pPr>
                    <w:rPr>
                      <w:rFonts w:hint="eastAsia" w:ascii="Times New Roman" w:hAnsi="Times New Roman" w:eastAsia="宋体" w:cs="Times New Roman"/>
                      <w:b w:val="0"/>
                      <w:bCs/>
                      <w:sz w:val="18"/>
                      <w:szCs w:val="18"/>
                      <w:lang w:val="en-GB"/>
                    </w:rPr>
                  </w:pPr>
                  <w:r>
                    <w:rPr>
                      <w:rFonts w:hint="eastAsia" w:ascii="Times New Roman" w:hAnsi="Times New Roman" w:eastAsia="宋体" w:cs="Times New Roman"/>
                      <w:b w:val="0"/>
                      <w:bCs/>
                      <w:sz w:val="18"/>
                      <w:szCs w:val="18"/>
                      <w:lang w:val="en-GB"/>
                    </w:rPr>
                    <w:t>采取分类收集、管理方案进行管理</w:t>
                  </w:r>
                </w:p>
              </w:tc>
              <w:tc>
                <w:tcPr>
                  <w:tcW w:w="1350" w:type="dxa"/>
                  <w:shd w:val="clear" w:color="auto" w:fill="auto"/>
                  <w:vAlign w:val="center"/>
                </w:tcPr>
                <w:p>
                  <w:pPr>
                    <w:rPr>
                      <w:rFonts w:hint="eastAsia" w:ascii="Times New Roman" w:hAnsi="Times New Roman" w:eastAsia="宋体" w:cs="Times New Roman"/>
                      <w:b w:val="0"/>
                      <w:bCs/>
                      <w:sz w:val="18"/>
                      <w:szCs w:val="18"/>
                      <w:lang w:val="en-GB" w:eastAsia="zh-CN"/>
                    </w:rPr>
                  </w:pPr>
                  <w:r>
                    <w:rPr>
                      <w:rFonts w:hint="eastAsia" w:ascii="Times New Roman" w:hAnsi="Times New Roman" w:eastAsia="宋体" w:cs="Times New Roman"/>
                      <w:b w:val="0"/>
                      <w:bCs/>
                      <w:sz w:val="18"/>
                      <w:szCs w:val="18"/>
                      <w:lang w:val="en-GB" w:eastAsia="zh-CN"/>
                    </w:rPr>
                    <w:t>行政部</w:t>
                  </w:r>
                </w:p>
              </w:tc>
              <w:tc>
                <w:tcPr>
                  <w:tcW w:w="1774" w:type="dxa"/>
                  <w:shd w:val="clear" w:color="auto" w:fill="auto"/>
                  <w:vAlign w:val="center"/>
                </w:tcPr>
                <w:p>
                  <w:pPr>
                    <w:rPr>
                      <w:rFonts w:hint="default" w:ascii="Times New Roman" w:hAnsi="Times New Roman" w:eastAsia="宋体" w:cs="Times New Roman"/>
                      <w:b w:val="0"/>
                      <w:bCs/>
                      <w:sz w:val="18"/>
                      <w:szCs w:val="18"/>
                      <w:lang w:val="en-GB" w:eastAsia="zh-CN"/>
                    </w:rPr>
                  </w:pPr>
                  <w:r>
                    <w:rPr>
                      <w:rFonts w:hint="eastAsia" w:ascii="Times New Roman" w:hAnsi="Times New Roman" w:eastAsia="宋体" w:cs="Times New Roman"/>
                      <w:b w:val="0"/>
                      <w:bCs/>
                      <w:sz w:val="18"/>
                      <w:szCs w:val="18"/>
                      <w:lang w:val="en-US" w:eastAsia="zh-CN"/>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Times New Roman" w:hAnsi="Times New Roman" w:eastAsia="宋体" w:cs="Times New Roman"/>
                      <w:b w:val="0"/>
                      <w:bCs/>
                      <w:sz w:val="18"/>
                      <w:szCs w:val="18"/>
                      <w:lang w:val="en-US" w:eastAsia="zh-CN"/>
                    </w:rPr>
                  </w:pPr>
                  <w:r>
                    <w:rPr>
                      <w:rFonts w:hint="eastAsia" w:ascii="Times New Roman" w:hAnsi="Times New Roman" w:eastAsia="宋体" w:cs="Times New Roman"/>
                      <w:b w:val="0"/>
                      <w:bCs/>
                      <w:sz w:val="18"/>
                      <w:szCs w:val="18"/>
                    </w:rPr>
                    <w:t>火灾事故为0</w:t>
                  </w:r>
                </w:p>
              </w:tc>
              <w:tc>
                <w:tcPr>
                  <w:tcW w:w="3136" w:type="dxa"/>
                  <w:shd w:val="clear" w:color="auto" w:fill="auto"/>
                  <w:vAlign w:val="center"/>
                </w:tcPr>
                <w:p>
                  <w:pPr>
                    <w:rPr>
                      <w:rFonts w:hint="eastAsia" w:ascii="Times New Roman" w:hAnsi="Times New Roman" w:eastAsia="宋体" w:cs="Times New Roman"/>
                      <w:b w:val="0"/>
                      <w:bCs/>
                      <w:sz w:val="18"/>
                      <w:szCs w:val="18"/>
                    </w:rPr>
                  </w:pPr>
                  <w:r>
                    <w:rPr>
                      <w:rFonts w:hint="eastAsia" w:ascii="Times New Roman" w:hAnsi="Times New Roman" w:eastAsia="宋体" w:cs="Times New Roman"/>
                      <w:b w:val="0"/>
                      <w:bCs/>
                      <w:sz w:val="18"/>
                      <w:szCs w:val="18"/>
                      <w:lang w:val="en-US" w:eastAsia="zh-CN"/>
                    </w:rPr>
                    <w:t>通过管理方案和预案措施、应急演练进行管理</w:t>
                  </w:r>
                </w:p>
              </w:tc>
              <w:tc>
                <w:tcPr>
                  <w:tcW w:w="1350" w:type="dxa"/>
                  <w:shd w:val="clear" w:color="auto" w:fill="auto"/>
                  <w:vAlign w:val="center"/>
                </w:tcPr>
                <w:p>
                  <w:pPr>
                    <w:rPr>
                      <w:rFonts w:hint="eastAsia" w:ascii="Times New Roman" w:hAnsi="Times New Roman" w:eastAsia="宋体" w:cs="Times New Roman"/>
                      <w:b w:val="0"/>
                      <w:bCs/>
                      <w:sz w:val="18"/>
                      <w:szCs w:val="18"/>
                      <w:lang w:eastAsia="zh-CN"/>
                    </w:rPr>
                  </w:pPr>
                  <w:r>
                    <w:rPr>
                      <w:rFonts w:hint="eastAsia" w:ascii="Times New Roman" w:hAnsi="Times New Roman" w:eastAsia="宋体" w:cs="Times New Roman"/>
                      <w:b w:val="0"/>
                      <w:bCs/>
                      <w:sz w:val="18"/>
                      <w:szCs w:val="18"/>
                      <w:lang w:eastAsia="zh-CN"/>
                    </w:rPr>
                    <w:t>行政部</w:t>
                  </w:r>
                </w:p>
              </w:tc>
              <w:tc>
                <w:tcPr>
                  <w:tcW w:w="1774" w:type="dxa"/>
                  <w:shd w:val="clear" w:color="auto" w:fill="auto"/>
                  <w:vAlign w:val="center"/>
                </w:tcPr>
                <w:p>
                  <w:pPr>
                    <w:rPr>
                      <w:rFonts w:hint="default" w:ascii="Times New Roman" w:hAnsi="Times New Roman" w:eastAsia="宋体" w:cs="Times New Roman"/>
                      <w:b w:val="0"/>
                      <w:bCs/>
                      <w:sz w:val="18"/>
                      <w:szCs w:val="18"/>
                      <w:lang w:val="en-US" w:eastAsia="zh-CN"/>
                    </w:rPr>
                  </w:pPr>
                  <w:r>
                    <w:rPr>
                      <w:rFonts w:hint="eastAsia" w:ascii="Times New Roman" w:hAnsi="Times New Roman" w:eastAsia="宋体" w:cs="Times New Roman"/>
                      <w:b w:val="0"/>
                      <w:bCs/>
                      <w:sz w:val="18"/>
                      <w:szCs w:val="18"/>
                      <w:lang w:val="en-US" w:eastAsia="zh-CN"/>
                    </w:rPr>
                    <w:t>未发生火灾爆炸事故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pPr>
                    <w:rPr>
                      <w:rFonts w:hint="eastAsia" w:ascii="Times New Roman" w:hAnsi="Times New Roman" w:eastAsia="宋体" w:cs="Times New Roman"/>
                      <w:b w:val="0"/>
                      <w:bCs/>
                      <w:sz w:val="18"/>
                      <w:szCs w:val="18"/>
                      <w:lang w:val="en-US" w:eastAsia="zh-CN"/>
                    </w:rPr>
                  </w:pPr>
                  <w:r>
                    <w:rPr>
                      <w:rFonts w:hint="eastAsia" w:ascii="Times New Roman" w:hAnsi="Times New Roman" w:eastAsia="宋体" w:cs="Times New Roman"/>
                      <w:b w:val="0"/>
                      <w:bCs/>
                      <w:sz w:val="18"/>
                      <w:szCs w:val="18"/>
                    </w:rPr>
                    <w:t>环境扰民投诉为0</w:t>
                  </w:r>
                </w:p>
              </w:tc>
              <w:tc>
                <w:tcPr>
                  <w:tcW w:w="3136" w:type="dxa"/>
                  <w:shd w:val="clear" w:color="auto" w:fill="auto"/>
                  <w:vAlign w:val="center"/>
                </w:tcPr>
                <w:p>
                  <w:pPr>
                    <w:rPr>
                      <w:rFonts w:hint="eastAsia" w:ascii="Times New Roman" w:hAnsi="Times New Roman" w:eastAsia="宋体" w:cs="Times New Roman"/>
                      <w:b w:val="0"/>
                      <w:bCs/>
                      <w:sz w:val="18"/>
                      <w:szCs w:val="18"/>
                    </w:rPr>
                  </w:pPr>
                  <w:r>
                    <w:rPr>
                      <w:rFonts w:hint="eastAsia" w:ascii="Times New Roman" w:hAnsi="Times New Roman" w:eastAsia="宋体" w:cs="Times New Roman"/>
                      <w:b w:val="0"/>
                      <w:bCs/>
                      <w:sz w:val="18"/>
                      <w:szCs w:val="18"/>
                      <w:lang w:val="en-US" w:eastAsia="zh-CN"/>
                    </w:rPr>
                    <w:t>通过管理方案、环境检测进行管理</w:t>
                  </w:r>
                </w:p>
              </w:tc>
              <w:tc>
                <w:tcPr>
                  <w:tcW w:w="1350" w:type="dxa"/>
                  <w:shd w:val="clear" w:color="auto" w:fill="auto"/>
                  <w:vAlign w:val="center"/>
                </w:tcPr>
                <w:p>
                  <w:pPr>
                    <w:rPr>
                      <w:rFonts w:hint="eastAsia" w:ascii="Times New Roman" w:hAnsi="Times New Roman" w:eastAsia="宋体" w:cs="Times New Roman"/>
                      <w:b w:val="0"/>
                      <w:bCs/>
                      <w:sz w:val="18"/>
                      <w:szCs w:val="18"/>
                      <w:lang w:eastAsia="zh-CN"/>
                    </w:rPr>
                  </w:pPr>
                  <w:r>
                    <w:rPr>
                      <w:rFonts w:hint="eastAsia" w:ascii="Times New Roman" w:hAnsi="Times New Roman" w:eastAsia="宋体" w:cs="Times New Roman"/>
                      <w:b w:val="0"/>
                      <w:bCs/>
                      <w:sz w:val="18"/>
                      <w:szCs w:val="18"/>
                      <w:lang w:eastAsia="zh-CN"/>
                    </w:rPr>
                    <w:t>行政部</w:t>
                  </w:r>
                </w:p>
              </w:tc>
              <w:tc>
                <w:tcPr>
                  <w:tcW w:w="1774" w:type="dxa"/>
                  <w:shd w:val="clear" w:color="auto" w:fill="auto"/>
                  <w:vAlign w:val="center"/>
                </w:tcPr>
                <w:p>
                  <w:pPr>
                    <w:rPr>
                      <w:rFonts w:hint="eastAsia" w:ascii="Times New Roman" w:hAnsi="Times New Roman" w:eastAsia="宋体" w:cs="Times New Roman"/>
                      <w:b w:val="0"/>
                      <w:bCs/>
                      <w:sz w:val="18"/>
                      <w:szCs w:val="18"/>
                      <w:lang w:eastAsia="zh-CN"/>
                    </w:rPr>
                  </w:pPr>
                  <w:r>
                    <w:rPr>
                      <w:rFonts w:hint="eastAsia" w:ascii="Times New Roman" w:hAnsi="Times New Roman" w:eastAsia="宋体" w:cs="Times New Roman"/>
                      <w:b w:val="0"/>
                      <w:bCs/>
                      <w:sz w:val="18"/>
                      <w:szCs w:val="18"/>
                      <w:lang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color w:val="000000" w:themeColor="text1"/>
              </w:rPr>
            </w:pPr>
            <w:r>
              <w:rPr>
                <w:rFonts w:hint="eastAsia"/>
                <w:color w:val="000000" w:themeColor="text1"/>
              </w:rPr>
              <w:t>建筑面积</w:t>
            </w:r>
            <w:r>
              <w:rPr>
                <w:rFonts w:hint="eastAsia"/>
                <w:color w:val="000000" w:themeColor="text1"/>
                <w:lang w:val="en-US" w:eastAsia="zh-CN"/>
              </w:rPr>
              <w:t>200</w:t>
            </w:r>
            <w:r>
              <w:rPr>
                <w:rFonts w:hint="eastAsia"/>
                <w:color w:val="000000" w:themeColor="text1"/>
              </w:rPr>
              <w:t>平方米；生产车间</w:t>
            </w:r>
            <w:r>
              <w:rPr>
                <w:rFonts w:hint="eastAsia"/>
                <w:color w:val="000000" w:themeColor="text1"/>
                <w:lang w:val="en-US" w:eastAsia="zh-CN"/>
              </w:rPr>
              <w:t>0</w:t>
            </w:r>
            <w:r>
              <w:rPr>
                <w:rFonts w:hint="eastAsia"/>
                <w:color w:val="000000" w:themeColor="text1"/>
              </w:rPr>
              <w:t>个；库房</w:t>
            </w:r>
            <w:r>
              <w:rPr>
                <w:rFonts w:hint="eastAsia"/>
                <w:color w:val="000000" w:themeColor="text1"/>
                <w:lang w:val="en-US" w:eastAsia="zh-CN"/>
              </w:rPr>
              <w:t>0</w:t>
            </w:r>
            <w:r>
              <w:rPr>
                <w:rFonts w:hint="eastAsia"/>
                <w:color w:val="000000" w:themeColor="text1"/>
              </w:rPr>
              <w:t>个；实验室</w:t>
            </w:r>
            <w:r>
              <w:rPr>
                <w:rFonts w:hint="eastAsia"/>
                <w:color w:val="000000" w:themeColor="text1"/>
                <w:lang w:val="en-US" w:eastAsia="zh-CN"/>
              </w:rPr>
              <w:t>0</w:t>
            </w:r>
            <w:r>
              <w:rPr>
                <w:rFonts w:hint="eastAsia"/>
                <w:color w:val="000000" w:themeColor="text1"/>
              </w:rPr>
              <w:t>个；</w:t>
            </w:r>
          </w:p>
          <w:p>
            <w:pPr>
              <w:shd w:val="clear" w:color="auto" w:fill="EBF1DE" w:themeFill="accent3" w:themeFillTint="32"/>
              <w:rPr>
                <w:color w:val="000000" w:themeColor="text1"/>
                <w:u w:val="single"/>
              </w:rPr>
            </w:pPr>
            <w:r>
              <w:rPr>
                <w:rFonts w:hint="eastAsia"/>
                <w:color w:val="000000" w:themeColor="text1"/>
              </w:rPr>
              <w:t>主要生产设备有：</w:t>
            </w:r>
            <w:r>
              <w:rPr>
                <w:rFonts w:hint="eastAsia"/>
                <w:color w:val="000000" w:themeColor="text1"/>
                <w:u w:val="single"/>
              </w:rPr>
              <w:t>（电脑、打印机、设计开发软件、空调、办公桌等设施）</w:t>
            </w:r>
          </w:p>
          <w:p>
            <w:pPr>
              <w:shd w:val="clear" w:color="auto" w:fill="EBF1DE" w:themeFill="accent3" w:themeFillTint="32"/>
              <w:rPr>
                <w:color w:val="000000" w:themeColor="text1"/>
                <w:u w:val="single"/>
              </w:rPr>
            </w:pPr>
            <w:r>
              <w:rPr>
                <w:rFonts w:hint="eastAsia"/>
                <w:color w:val="000000" w:themeColor="text1"/>
              </w:rPr>
              <w:t>主要环保设备有：</w:t>
            </w:r>
            <w:r>
              <w:rPr>
                <w:rFonts w:hint="eastAsia"/>
                <w:color w:val="000000" w:themeColor="text1"/>
                <w:u w:val="single"/>
              </w:rPr>
              <w:t>（</w:t>
            </w:r>
            <w:r>
              <w:rPr>
                <w:rFonts w:hint="eastAsia"/>
                <w:color w:val="000000" w:themeColor="text1"/>
                <w:u w:val="single"/>
                <w:lang w:eastAsia="zh-CN"/>
              </w:rPr>
              <w:t>无</w:t>
            </w:r>
            <w:r>
              <w:rPr>
                <w:rFonts w:hint="eastAsia"/>
                <w:color w:val="000000" w:themeColor="text1"/>
                <w:u w:val="single"/>
              </w:rPr>
              <w:t>）</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color w:val="000000" w:themeColor="text1"/>
              </w:rPr>
            </w:pPr>
            <w:r>
              <w:rPr>
                <w:rFonts w:hint="eastAsia"/>
                <w:color w:val="000000" w:themeColor="text1"/>
              </w:rPr>
              <w:t>组织建立、实施和保持了适当的设计和开发过程，以确保后续的产品和服务的提供中满足环境相关的法律法规。（适用时）</w:t>
            </w:r>
          </w:p>
          <w:p>
            <w:pPr>
              <w:shd w:val="clear" w:color="auto" w:fill="EBF1DE" w:themeFill="accent3" w:themeFillTint="32"/>
              <w:rPr>
                <w:color w:val="000000" w:themeColor="text1"/>
              </w:rPr>
            </w:pPr>
            <w:r>
              <w:rPr>
                <w:rFonts w:hint="eastAsia"/>
                <w:color w:val="000000" w:themeColor="text1"/>
              </w:rPr>
              <w:t>审核期间内，设计和开发新产品/项目名称：</w:t>
            </w:r>
            <w:r>
              <w:rPr>
                <w:rFonts w:hint="eastAsia"/>
                <w:color w:val="000000" w:themeColor="text1"/>
                <w:u w:val="single"/>
              </w:rPr>
              <w:t>（国网四川雅安名山110KV前进变电站35KV高压开关柜智能防凝露系统设计项目</w:t>
            </w:r>
            <w:r>
              <w:rPr>
                <w:rFonts w:hint="eastAsia"/>
                <w:color w:val="000000" w:themeColor="text1"/>
              </w:rPr>
              <w:t>）</w:t>
            </w:r>
          </w:p>
          <w:p>
            <w:pPr>
              <w:shd w:val="clear" w:color="auto" w:fill="EBF1DE" w:themeFill="accent3" w:themeFillTint="32"/>
              <w:rPr>
                <w:color w:val="000000" w:themeColor="text1"/>
              </w:rPr>
            </w:pPr>
            <w:r>
              <w:rPr>
                <w:rFonts w:hint="eastAsia"/>
                <w:color w:val="000000" w:themeColor="text1"/>
              </w:rPr>
              <w:t>对该设计和开发的项目对环境因素进行了识别和评价，并制订了控制措施。</w:t>
            </w:r>
          </w:p>
          <w:p>
            <w:pPr>
              <w:shd w:val="clear" w:color="auto" w:fill="EBF1DE" w:themeFill="accent3" w:themeFillTint="32"/>
              <w:rPr>
                <w:color w:val="000000" w:themeColor="text1"/>
              </w:rPr>
            </w:pPr>
            <w:r>
              <w:rPr>
                <w:rFonts w:hint="eastAsia"/>
                <w:color w:val="000000" w:themeColor="text1"/>
              </w:rPr>
              <w:t>设计和开发的环境因素控制：</w:t>
            </w:r>
          </w:p>
          <w:p>
            <w:pPr>
              <w:shd w:val="clear" w:color="auto" w:fill="EBF1DE" w:themeFill="accent3" w:themeFillTint="32"/>
            </w:pPr>
            <w:r>
              <w:rPr>
                <w:rFonts w:hint="eastAsia" w:ascii="Wingdings" w:hAnsi="Wingdings"/>
                <w:color w:val="000000" w:themeColor="text1"/>
                <w:lang w:eastAsia="zh-CN"/>
              </w:rPr>
              <w:t>☑</w:t>
            </w:r>
            <w:r>
              <w:rPr>
                <w:rFonts w:hint="eastAsia"/>
                <w:color w:val="000000" w:themeColor="text1"/>
              </w:rPr>
              <w:t>符合要求</w:t>
            </w:r>
            <w:r>
              <w:rPr>
                <w:rFonts w:hint="eastAsia" w:ascii="Wingdings" w:hAnsi="Wingdings"/>
                <w:color w:val="000000" w:themeColor="text1"/>
                <w:lang w:eastAsia="zh-CN"/>
              </w:rPr>
              <w:t>□</w:t>
            </w:r>
            <w:r>
              <w:rPr>
                <w:rFonts w:hint="eastAsia"/>
                <w:color w:val="000000" w:themeColor="text1"/>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于2021年</w:t>
            </w:r>
            <w:r>
              <w:rPr>
                <w:rFonts w:hint="eastAsia"/>
                <w:color w:val="000000" w:themeColor="text1"/>
              </w:rPr>
              <w:t>8月22日进行了的演练；</w:t>
            </w:r>
            <w:r>
              <w:rPr>
                <w:rFonts w:hint="eastAsia"/>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color w:val="000000" w:themeColor="text1"/>
              </w:rPr>
            </w:pPr>
            <w:r>
              <w:rPr>
                <w:rFonts w:hint="eastAsia"/>
              </w:rPr>
              <w:t>实施合</w:t>
            </w:r>
            <w:r>
              <w:rPr>
                <w:rFonts w:hint="eastAsia"/>
                <w:color w:val="000000" w:themeColor="text1"/>
              </w:rPr>
              <w:t>规性评价的时间：</w:t>
            </w:r>
          </w:p>
          <w:p>
            <w:pPr>
              <w:shd w:val="clear" w:color="auto" w:fill="EBF1DE" w:themeFill="accent3" w:themeFillTint="32"/>
              <w:rPr>
                <w:color w:val="000000" w:themeColor="text1"/>
              </w:rPr>
            </w:pPr>
            <w:r>
              <w:rPr>
                <w:rFonts w:hint="eastAsia" w:ascii="Wingdings" w:hAnsi="Wingdings"/>
                <w:color w:val="000000" w:themeColor="text1"/>
                <w:lang w:eastAsia="zh-CN"/>
              </w:rPr>
              <w:t>☑</w:t>
            </w:r>
            <w:r>
              <w:rPr>
                <w:rFonts w:hint="eastAsia"/>
                <w:color w:val="000000" w:themeColor="text1"/>
              </w:rPr>
              <w:t>定期（每年）：2021年8月20日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color w:val="000000" w:themeColor="text1"/>
              </w:rPr>
              <w:t>策划于</w:t>
            </w:r>
            <w:r>
              <w:rPr>
                <w:rFonts w:hint="eastAsia"/>
                <w:color w:val="000000" w:themeColor="text1"/>
                <w:lang w:val="en-US" w:eastAsia="zh-CN"/>
              </w:rPr>
              <w:t>2021</w:t>
            </w:r>
            <w:r>
              <w:rPr>
                <w:rFonts w:hint="eastAsia"/>
                <w:color w:val="000000" w:themeColor="text1"/>
              </w:rPr>
              <w:t>年</w:t>
            </w:r>
            <w:r>
              <w:rPr>
                <w:rFonts w:hint="eastAsia"/>
                <w:color w:val="000000" w:themeColor="text1"/>
                <w:lang w:val="en-US" w:eastAsia="zh-CN"/>
              </w:rPr>
              <w:t>9</w:t>
            </w:r>
            <w:r>
              <w:rPr>
                <w:rFonts w:hint="eastAsia"/>
                <w:color w:val="000000" w:themeColor="text1"/>
              </w:rPr>
              <w:t>月</w:t>
            </w:r>
            <w:r>
              <w:rPr>
                <w:rFonts w:hint="eastAsia"/>
                <w:color w:val="000000" w:themeColor="text1"/>
                <w:lang w:val="en-US" w:eastAsia="zh-CN"/>
              </w:rPr>
              <w:t>1-2</w:t>
            </w:r>
            <w:r>
              <w:rPr>
                <w:rFonts w:hint="eastAsia"/>
                <w:color w:val="000000" w:themeColor="text1"/>
              </w:rPr>
              <w:t>日实施了</w:t>
            </w:r>
            <w:r>
              <w:rPr>
                <w:rFonts w:hint="eastAsia"/>
              </w:rPr>
              <w:t>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w:t>
            </w:r>
            <w:r>
              <w:rPr>
                <w:rFonts w:hint="eastAsia"/>
                <w:color w:val="000000" w:themeColor="text1"/>
              </w:rPr>
              <w:t>时间间隔，在</w:t>
            </w:r>
            <w:r>
              <w:rPr>
                <w:rFonts w:hint="eastAsia"/>
                <w:color w:val="000000" w:themeColor="text1"/>
                <w:lang w:val="en-US" w:eastAsia="zh-CN"/>
              </w:rPr>
              <w:t>2021</w:t>
            </w:r>
            <w:r>
              <w:rPr>
                <w:rFonts w:hint="eastAsia"/>
                <w:color w:val="000000" w:themeColor="text1"/>
              </w:rPr>
              <w:t>年</w:t>
            </w:r>
            <w:r>
              <w:rPr>
                <w:rFonts w:hint="eastAsia"/>
                <w:color w:val="000000" w:themeColor="text1"/>
                <w:lang w:val="en-US" w:eastAsia="zh-CN"/>
              </w:rPr>
              <w:t>9</w:t>
            </w:r>
            <w:r>
              <w:rPr>
                <w:rFonts w:hint="eastAsia"/>
                <w:color w:val="000000" w:themeColor="text1"/>
              </w:rPr>
              <w:t>月</w:t>
            </w:r>
            <w:r>
              <w:rPr>
                <w:rFonts w:hint="eastAsia"/>
                <w:color w:val="000000" w:themeColor="text1"/>
                <w:lang w:val="en-US" w:eastAsia="zh-CN"/>
              </w:rPr>
              <w:t>20</w:t>
            </w:r>
            <w:r>
              <w:rPr>
                <w:rFonts w:hint="eastAsia"/>
                <w:color w:val="000000" w:themeColor="text1"/>
              </w:rPr>
              <w:t>日对组织的环境管理体系进行了评审，以确保其持续的适宜性、充分性和有效性；管理评审输入、输出均</w:t>
            </w:r>
            <w:r>
              <w:rPr>
                <w:rFonts w:hint="eastAsia"/>
              </w:rPr>
              <w:t>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w:t>
            </w:r>
            <w:r>
              <w:rPr>
                <w:rFonts w:hint="eastAsia"/>
                <w:lang w:val="en-US" w:eastAsia="zh-CN"/>
              </w:rPr>
              <w:t>OHS</w:t>
            </w:r>
            <w:r>
              <w:rPr>
                <w:rFonts w:hint="eastAsia"/>
              </w:rPr>
              <w:t>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价值观□文化□知识□绩效□工艺□设备</w:t>
                  </w:r>
                  <w:r>
                    <w:rPr>
                      <w:rFonts w:hint="eastAsia"/>
                      <w:lang w:eastAsia="zh-CN"/>
                    </w:rPr>
                    <w:t>☑</w:t>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最高管理者制定了文件化的职业健康安全管理体系方针：保障健康、安全研发、以人为本、永续发展、遵守法规、持续改进</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行政部</w:t>
            </w:r>
          </w:p>
          <w:p>
            <w:pPr>
              <w:rPr>
                <w:rFonts w:hint="eastAsia" w:eastAsia="宋体"/>
                <w:lang w:eastAsia="zh-CN"/>
              </w:rPr>
            </w:pPr>
            <w:r>
              <w:rPr>
                <w:rFonts w:hint="eastAsia"/>
              </w:rPr>
              <w:t>安全的主管部门是——</w:t>
            </w:r>
            <w:r>
              <w:rPr>
                <w:rFonts w:hint="eastAsia"/>
                <w:lang w:eastAsia="zh-CN"/>
              </w:rPr>
              <w:t>研发部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员工代表是——周敏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火灾</w:t>
                  </w:r>
                </w:p>
              </w:tc>
              <w:tc>
                <w:tcPr>
                  <w:tcW w:w="3965" w:type="dxa"/>
                  <w:vAlign w:val="top"/>
                </w:tcPr>
                <w:p>
                  <w:pPr>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kern w:val="2"/>
                      <w:sz w:val="21"/>
                      <w:szCs w:val="24"/>
                      <w:lang w:val="en-US" w:eastAsia="zh-CN" w:bidi="ar-SA"/>
                    </w:rPr>
                  </w:pPr>
                  <w:r>
                    <w:rPr>
                      <w:rFonts w:hint="eastAsia" w:ascii="宋体" w:hAnsi="宋体" w:eastAsia="宋体" w:cs="宋体"/>
                      <w:szCs w:val="21"/>
                      <w:lang w:eastAsia="zh-CN"/>
                    </w:rPr>
                    <w:t>触电</w:t>
                  </w:r>
                </w:p>
              </w:tc>
              <w:tc>
                <w:tcPr>
                  <w:tcW w:w="3965" w:type="dxa"/>
                  <w:vAlign w:val="top"/>
                </w:tcPr>
                <w:p>
                  <w:pPr>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lang w:eastAsia="zh-CN"/>
              </w:rPr>
              <w:t>☑</w:t>
            </w:r>
            <w:r>
              <w:rPr>
                <w:rFonts w:hint="eastAsia"/>
              </w:rPr>
              <w:t>触电□化学伤害□噪声□粉尘□危险作业□高低温□危化品泄露□压力容器爆炸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lang w:eastAsia="zh-CN"/>
              </w:rPr>
              <w:t>☑</w:t>
            </w:r>
            <w:r>
              <w:rPr>
                <w:rFonts w:hint="eastAsia"/>
              </w:rPr>
              <w:t>漏电保护□穿戴劳保用品□作业票管理□挂牌上锁管理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tc>
              <w:tc>
                <w:tcPr>
                  <w:tcW w:w="3136" w:type="dxa"/>
                  <w:shd w:val="clear" w:color="auto" w:fill="auto"/>
                  <w:vAlign w:val="center"/>
                </w:tcPr>
                <w:p>
                  <w:pPr>
                    <w:rPr>
                      <w:lang w:val="en-GB"/>
                    </w:rPr>
                  </w:pPr>
                </w:p>
              </w:tc>
              <w:tc>
                <w:tcPr>
                  <w:tcW w:w="1350" w:type="dxa"/>
                  <w:shd w:val="clear" w:color="auto" w:fill="auto"/>
                  <w:vAlign w:val="center"/>
                </w:tcPr>
                <w:p>
                  <w:pPr>
                    <w:rPr>
                      <w:lang w:val="en-GB"/>
                    </w:rPr>
                  </w:pPr>
                </w:p>
              </w:tc>
              <w:tc>
                <w:tcPr>
                  <w:tcW w:w="1774" w:type="dxa"/>
                  <w:shd w:val="clear" w:color="auto" w:fill="auto"/>
                  <w:vAlign w:val="center"/>
                </w:tcPr>
                <w:p>
                  <w:pPr>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color w:val="000000" w:themeColor="text1"/>
              </w:rPr>
            </w:pPr>
            <w:r>
              <w:rPr>
                <w:rFonts w:hint="eastAsia"/>
                <w:color w:val="000000" w:themeColor="text1"/>
              </w:rPr>
              <w:t>组织应确定、提供并维护所需的基础设施情况：</w:t>
            </w:r>
          </w:p>
          <w:p>
            <w:pPr>
              <w:rPr>
                <w:color w:val="000000" w:themeColor="text1"/>
              </w:rPr>
            </w:pPr>
            <w:r>
              <w:rPr>
                <w:rFonts w:hint="eastAsia"/>
                <w:color w:val="000000" w:themeColor="text1"/>
              </w:rPr>
              <w:t>建筑面积</w:t>
            </w:r>
            <w:r>
              <w:rPr>
                <w:rFonts w:hint="eastAsia"/>
                <w:color w:val="000000" w:themeColor="text1"/>
                <w:lang w:val="en-US" w:eastAsia="zh-CN"/>
              </w:rPr>
              <w:t>200</w:t>
            </w:r>
            <w:r>
              <w:rPr>
                <w:rFonts w:hint="eastAsia"/>
                <w:color w:val="000000" w:themeColor="text1"/>
              </w:rPr>
              <w:t>平方米；生产车间</w:t>
            </w:r>
            <w:r>
              <w:rPr>
                <w:rFonts w:hint="eastAsia"/>
                <w:color w:val="000000" w:themeColor="text1"/>
                <w:lang w:val="en-US" w:eastAsia="zh-CN"/>
              </w:rPr>
              <w:t>0</w:t>
            </w:r>
            <w:r>
              <w:rPr>
                <w:rFonts w:hint="eastAsia"/>
                <w:color w:val="000000" w:themeColor="text1"/>
              </w:rPr>
              <w:t>个；库房</w:t>
            </w:r>
            <w:r>
              <w:rPr>
                <w:rFonts w:hint="eastAsia"/>
                <w:color w:val="000000" w:themeColor="text1"/>
                <w:lang w:val="en-US" w:eastAsia="zh-CN"/>
              </w:rPr>
              <w:t>0</w:t>
            </w:r>
            <w:r>
              <w:rPr>
                <w:rFonts w:hint="eastAsia"/>
                <w:color w:val="000000" w:themeColor="text1"/>
              </w:rPr>
              <w:t>个；实验室</w:t>
            </w:r>
            <w:r>
              <w:rPr>
                <w:rFonts w:hint="eastAsia"/>
                <w:color w:val="000000" w:themeColor="text1"/>
                <w:lang w:val="en-US" w:eastAsia="zh-CN"/>
              </w:rPr>
              <w:t>0</w:t>
            </w:r>
            <w:r>
              <w:rPr>
                <w:rFonts w:hint="eastAsia"/>
                <w:color w:val="000000" w:themeColor="text1"/>
              </w:rPr>
              <w:t>个；</w:t>
            </w:r>
          </w:p>
          <w:p>
            <w:pPr>
              <w:rPr>
                <w:color w:val="000000" w:themeColor="text1"/>
                <w:u w:val="single"/>
              </w:rPr>
            </w:pPr>
            <w:r>
              <w:rPr>
                <w:rFonts w:hint="eastAsia"/>
                <w:color w:val="000000" w:themeColor="text1"/>
              </w:rPr>
              <w:t>主要生产设备有：</w:t>
            </w:r>
            <w:r>
              <w:rPr>
                <w:rFonts w:hint="eastAsia"/>
                <w:color w:val="000000" w:themeColor="text1"/>
                <w:u w:val="single"/>
              </w:rPr>
              <w:t>（</w:t>
            </w:r>
            <w:r>
              <w:rPr>
                <w:rFonts w:hint="eastAsia"/>
                <w:color w:val="000000" w:themeColor="text1"/>
                <w:u w:val="single"/>
                <w:lang w:eastAsia="zh-CN"/>
              </w:rPr>
              <w:t>电脑、打印机、开发软件等办公设备</w:t>
            </w:r>
            <w:r>
              <w:rPr>
                <w:rFonts w:hint="eastAsia"/>
                <w:color w:val="000000" w:themeColor="text1"/>
                <w:u w:val="single"/>
              </w:rPr>
              <w:t>）</w:t>
            </w:r>
          </w:p>
          <w:p>
            <w:pPr>
              <w:rPr>
                <w:color w:val="000000" w:themeColor="text1"/>
              </w:rPr>
            </w:pPr>
            <w:r>
              <w:rPr>
                <w:rFonts w:hint="eastAsia"/>
                <w:color w:val="000000" w:themeColor="text1"/>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color w:val="000000" w:themeColor="text1"/>
              </w:rPr>
            </w:pPr>
            <w:r>
              <w:rPr>
                <w:rFonts w:hint="eastAsia"/>
                <w:color w:val="000000" w:themeColor="text1"/>
              </w:rPr>
              <w:t>组织建立、实施和保持了适当的设计和开发过程，以确保后续的产品和服务的提供中满足职业健康安全相关的法律法规。（适用时）</w:t>
            </w:r>
          </w:p>
          <w:p>
            <w:pPr>
              <w:rPr>
                <w:color w:val="000000" w:themeColor="text1"/>
              </w:rPr>
            </w:pPr>
            <w:r>
              <w:rPr>
                <w:rFonts w:hint="eastAsia"/>
                <w:color w:val="000000" w:themeColor="text1"/>
              </w:rPr>
              <w:t>审核期间内，设计和开发新产品/项目名称：</w:t>
            </w:r>
            <w:r>
              <w:rPr>
                <w:rFonts w:hint="eastAsia"/>
                <w:color w:val="000000" w:themeColor="text1"/>
                <w:u w:val="single"/>
              </w:rPr>
              <w:t>（国网四川雅安名山110KV前进变电站35KV高压开关柜智能防凝露系统设计项目</w:t>
            </w:r>
            <w:r>
              <w:rPr>
                <w:rFonts w:hint="eastAsia"/>
                <w:color w:val="000000" w:themeColor="text1"/>
              </w:rPr>
              <w:t>）</w:t>
            </w:r>
          </w:p>
          <w:p>
            <w:pPr>
              <w:rPr>
                <w:color w:val="000000" w:themeColor="text1"/>
              </w:rPr>
            </w:pPr>
            <w:r>
              <w:rPr>
                <w:rFonts w:hint="eastAsia"/>
                <w:color w:val="000000" w:themeColor="text1"/>
              </w:rPr>
              <w:t>对该设计和开发的项目对职业健康安全风险进行了识别和评价，并制订了控制措施。</w:t>
            </w:r>
          </w:p>
          <w:p>
            <w:pPr>
              <w:rPr>
                <w:color w:val="000000" w:themeColor="text1"/>
              </w:rPr>
            </w:pPr>
            <w:r>
              <w:rPr>
                <w:rFonts w:hint="eastAsia"/>
                <w:color w:val="000000" w:themeColor="text1"/>
              </w:rPr>
              <w:t>设计和开发的环境因素控制：</w:t>
            </w:r>
          </w:p>
          <w:p>
            <w:r>
              <w:rPr>
                <w:rFonts w:hint="eastAsia" w:ascii="Wingdings" w:hAnsi="Wingdings"/>
                <w:color w:val="000000" w:themeColor="text1"/>
                <w:lang w:eastAsia="zh-CN"/>
              </w:rPr>
              <w:t>☑</w:t>
            </w:r>
            <w:r>
              <w:rPr>
                <w:rFonts w:hint="eastAsia"/>
                <w:color w:val="000000" w:themeColor="text1"/>
              </w:rPr>
              <w:t>符合要求</w:t>
            </w:r>
            <w:r>
              <w:rPr>
                <w:rFonts w:hint="eastAsia" w:ascii="Wingdings" w:hAnsi="Wingdings"/>
                <w:color w:val="000000" w:themeColor="text1"/>
                <w:lang w:eastAsia="zh-CN"/>
              </w:rPr>
              <w:t>□</w:t>
            </w:r>
            <w:r>
              <w:rPr>
                <w:rFonts w:hint="eastAsia"/>
                <w:color w:val="000000" w:themeColor="text1"/>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火灾</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应急预案与管理方案执行</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color w:val="000000" w:themeColor="text1"/>
              </w:rPr>
              <w:t>于</w:t>
            </w:r>
            <w:r>
              <w:rPr>
                <w:rFonts w:hint="eastAsia"/>
                <w:color w:val="000000" w:themeColor="text1"/>
                <w:lang w:val="en-US" w:eastAsia="zh-CN"/>
              </w:rPr>
              <w:t>2021</w:t>
            </w:r>
            <w:r>
              <w:rPr>
                <w:rFonts w:hint="eastAsia"/>
                <w:color w:val="000000" w:themeColor="text1"/>
              </w:rPr>
              <w:t>年</w:t>
            </w:r>
            <w:r>
              <w:rPr>
                <w:rFonts w:hint="eastAsia"/>
                <w:color w:val="000000" w:themeColor="text1"/>
                <w:lang w:val="en-US" w:eastAsia="zh-CN"/>
              </w:rPr>
              <w:t>8</w:t>
            </w:r>
            <w:r>
              <w:rPr>
                <w:rFonts w:hint="eastAsia"/>
                <w:color w:val="000000" w:themeColor="text1"/>
              </w:rPr>
              <w:t>月</w:t>
            </w:r>
            <w:r>
              <w:rPr>
                <w:rFonts w:hint="eastAsia"/>
                <w:color w:val="000000" w:themeColor="text1"/>
                <w:lang w:val="en-US" w:eastAsia="zh-CN"/>
              </w:rPr>
              <w:t>22</w:t>
            </w:r>
            <w:r>
              <w:rPr>
                <w:rFonts w:hint="eastAsia"/>
                <w:color w:val="000000" w:themeColor="text1"/>
              </w:rPr>
              <w:t>日进行了的</w:t>
            </w:r>
            <w:r>
              <w:rPr>
                <w:rFonts w:hint="eastAsia"/>
              </w:rPr>
              <w:t>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pPr>
              <w:rPr>
                <w:color w:val="000000" w:themeColor="text1"/>
              </w:rPr>
            </w:pPr>
            <w:r>
              <w:rPr>
                <w:rFonts w:hint="eastAsia"/>
              </w:rPr>
              <w:t>实施合规性评</w:t>
            </w:r>
            <w:r>
              <w:rPr>
                <w:rFonts w:hint="eastAsia"/>
                <w:color w:val="000000" w:themeColor="text1"/>
              </w:rPr>
              <w:t>价的时间：</w:t>
            </w:r>
          </w:p>
          <w:p>
            <w:pPr>
              <w:rPr>
                <w:color w:val="000000" w:themeColor="text1"/>
              </w:rPr>
            </w:pPr>
            <w:r>
              <w:rPr>
                <w:rFonts w:hint="eastAsia" w:ascii="Wingdings" w:hAnsi="Wingdings"/>
                <w:color w:val="000000" w:themeColor="text1"/>
                <w:lang w:eastAsia="zh-CN"/>
              </w:rPr>
              <w:t>☑</w:t>
            </w:r>
            <w:r>
              <w:rPr>
                <w:rFonts w:hint="eastAsia"/>
                <w:color w:val="000000" w:themeColor="text1"/>
              </w:rPr>
              <w:t>定期（每年）：</w:t>
            </w:r>
            <w:r>
              <w:rPr>
                <w:rFonts w:hint="eastAsia"/>
                <w:color w:val="000000" w:themeColor="text1"/>
                <w:lang w:val="en-US" w:eastAsia="zh-CN"/>
              </w:rPr>
              <w:t>2021</w:t>
            </w:r>
            <w:r>
              <w:rPr>
                <w:rFonts w:hint="eastAsia"/>
                <w:color w:val="000000" w:themeColor="text1"/>
              </w:rPr>
              <w:t>年</w:t>
            </w:r>
            <w:r>
              <w:rPr>
                <w:rFonts w:hint="eastAsia"/>
                <w:color w:val="000000" w:themeColor="text1"/>
                <w:lang w:val="en-US" w:eastAsia="zh-CN"/>
              </w:rPr>
              <w:t>8</w:t>
            </w:r>
            <w:r>
              <w:rPr>
                <w:rFonts w:hint="eastAsia"/>
                <w:color w:val="000000" w:themeColor="text1"/>
              </w:rPr>
              <w:t>月</w:t>
            </w:r>
            <w:r>
              <w:rPr>
                <w:rFonts w:hint="eastAsia"/>
                <w:color w:val="000000" w:themeColor="text1"/>
                <w:lang w:val="en-US" w:eastAsia="zh-CN"/>
              </w:rPr>
              <w:t>20</w:t>
            </w:r>
            <w:r>
              <w:rPr>
                <w:rFonts w:hint="eastAsia"/>
                <w:color w:val="000000" w:themeColor="text1"/>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color w:val="000000" w:themeColor="text1"/>
              </w:rPr>
            </w:pPr>
            <w:r>
              <w:rPr>
                <w:rFonts w:hint="eastAsia"/>
              </w:rPr>
              <w:t>组织已</w:t>
            </w:r>
            <w:r>
              <w:rPr>
                <w:rFonts w:hint="eastAsia"/>
              </w:rPr>
              <w:fldChar w:fldCharType="begin"/>
            </w:r>
            <w:r>
              <w:rPr>
                <w:rFonts w:hint="eastAsia"/>
              </w:rPr>
              <w:fldChar w:fldCharType="end"/>
            </w:r>
            <w:r>
              <w:rPr>
                <w:rFonts w:hint="eastAsia"/>
              </w:rPr>
              <w:t>通过年</w:t>
            </w:r>
            <w:r>
              <w:rPr>
                <w:rFonts w:hint="eastAsia"/>
                <w:color w:val="000000" w:themeColor="text1"/>
              </w:rPr>
              <w:t>度策划于</w:t>
            </w:r>
            <w:r>
              <w:rPr>
                <w:rFonts w:hint="eastAsia"/>
                <w:color w:val="000000" w:themeColor="text1"/>
                <w:lang w:val="en-US" w:eastAsia="zh-CN"/>
              </w:rPr>
              <w:t>2021</w:t>
            </w:r>
            <w:r>
              <w:rPr>
                <w:rFonts w:hint="eastAsia"/>
                <w:color w:val="000000" w:themeColor="text1"/>
              </w:rPr>
              <w:t>年</w:t>
            </w:r>
            <w:r>
              <w:rPr>
                <w:rFonts w:hint="eastAsia"/>
                <w:color w:val="000000" w:themeColor="text1"/>
                <w:lang w:val="en-US" w:eastAsia="zh-CN"/>
              </w:rPr>
              <w:t>9</w:t>
            </w:r>
            <w:r>
              <w:rPr>
                <w:rFonts w:hint="eastAsia"/>
                <w:color w:val="000000" w:themeColor="text1"/>
              </w:rPr>
              <w:t>月</w:t>
            </w:r>
            <w:r>
              <w:rPr>
                <w:rFonts w:hint="eastAsia"/>
                <w:color w:val="000000" w:themeColor="text1"/>
                <w:lang w:val="en-US" w:eastAsia="zh-CN"/>
              </w:rPr>
              <w:t>1-2</w:t>
            </w:r>
            <w:r>
              <w:rPr>
                <w:rFonts w:hint="eastAsia"/>
                <w:color w:val="000000" w:themeColor="text1"/>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w:t>
            </w:r>
            <w:r>
              <w:rPr>
                <w:rFonts w:hint="eastAsia"/>
                <w:color w:val="000000" w:themeColor="text1"/>
              </w:rPr>
              <w:t>理者已按策划的时间间隔，在</w:t>
            </w:r>
            <w:r>
              <w:rPr>
                <w:rFonts w:hint="eastAsia"/>
                <w:color w:val="000000" w:themeColor="text1"/>
                <w:lang w:val="en-US" w:eastAsia="zh-CN"/>
              </w:rPr>
              <w:t>2021</w:t>
            </w:r>
            <w:r>
              <w:rPr>
                <w:rFonts w:hint="eastAsia"/>
                <w:color w:val="000000" w:themeColor="text1"/>
              </w:rPr>
              <w:t>年</w:t>
            </w:r>
            <w:r>
              <w:rPr>
                <w:rFonts w:hint="eastAsia"/>
                <w:color w:val="000000" w:themeColor="text1"/>
                <w:lang w:val="en-US" w:eastAsia="zh-CN"/>
              </w:rPr>
              <w:t>9</w:t>
            </w:r>
            <w:r>
              <w:rPr>
                <w:rFonts w:hint="eastAsia"/>
                <w:color w:val="000000" w:themeColor="text1"/>
              </w:rPr>
              <w:t>月</w:t>
            </w:r>
            <w:r>
              <w:rPr>
                <w:rFonts w:hint="eastAsia"/>
                <w:color w:val="000000" w:themeColor="text1"/>
                <w:lang w:val="en-US" w:eastAsia="zh-CN"/>
              </w:rPr>
              <w:t>20</w:t>
            </w:r>
            <w:r>
              <w:rPr>
                <w:rFonts w:hint="eastAsia"/>
                <w:color w:val="000000" w:themeColor="text1"/>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6E1389"/>
    <w:rsid w:val="00DA0D7F"/>
    <w:rsid w:val="00EB6211"/>
    <w:rsid w:val="045A5880"/>
    <w:rsid w:val="06486A43"/>
    <w:rsid w:val="08732C15"/>
    <w:rsid w:val="09867816"/>
    <w:rsid w:val="09FC3D61"/>
    <w:rsid w:val="0A8964F9"/>
    <w:rsid w:val="0B584344"/>
    <w:rsid w:val="0BB80454"/>
    <w:rsid w:val="0D0D59CB"/>
    <w:rsid w:val="0E821EDB"/>
    <w:rsid w:val="10512D3A"/>
    <w:rsid w:val="14C1034C"/>
    <w:rsid w:val="14F94A49"/>
    <w:rsid w:val="166B5638"/>
    <w:rsid w:val="16904006"/>
    <w:rsid w:val="17D858D8"/>
    <w:rsid w:val="188D6271"/>
    <w:rsid w:val="19E556A2"/>
    <w:rsid w:val="1A9A51D3"/>
    <w:rsid w:val="1AAA63EA"/>
    <w:rsid w:val="1C1F7707"/>
    <w:rsid w:val="1C875A99"/>
    <w:rsid w:val="1F784E52"/>
    <w:rsid w:val="2433254D"/>
    <w:rsid w:val="250F7D12"/>
    <w:rsid w:val="278A03D5"/>
    <w:rsid w:val="2A6401B8"/>
    <w:rsid w:val="2E9A4E61"/>
    <w:rsid w:val="2F2443BA"/>
    <w:rsid w:val="2FDC3A09"/>
    <w:rsid w:val="30922B28"/>
    <w:rsid w:val="31725842"/>
    <w:rsid w:val="31A71A6F"/>
    <w:rsid w:val="34464303"/>
    <w:rsid w:val="34664261"/>
    <w:rsid w:val="37811E60"/>
    <w:rsid w:val="37B20112"/>
    <w:rsid w:val="3A4A2EE8"/>
    <w:rsid w:val="3A5C4DC9"/>
    <w:rsid w:val="3AD15428"/>
    <w:rsid w:val="3BB97826"/>
    <w:rsid w:val="3C1D466B"/>
    <w:rsid w:val="3E83433A"/>
    <w:rsid w:val="3FE94F8F"/>
    <w:rsid w:val="40296AF8"/>
    <w:rsid w:val="413B4C25"/>
    <w:rsid w:val="41C8447F"/>
    <w:rsid w:val="420662CD"/>
    <w:rsid w:val="43E80F94"/>
    <w:rsid w:val="45434139"/>
    <w:rsid w:val="462572E4"/>
    <w:rsid w:val="46B64B1C"/>
    <w:rsid w:val="48262C38"/>
    <w:rsid w:val="48FF0499"/>
    <w:rsid w:val="494057D2"/>
    <w:rsid w:val="49531B59"/>
    <w:rsid w:val="49B27663"/>
    <w:rsid w:val="4B2C0426"/>
    <w:rsid w:val="4D6E2F78"/>
    <w:rsid w:val="4E241C24"/>
    <w:rsid w:val="4E630CF6"/>
    <w:rsid w:val="4F3D131E"/>
    <w:rsid w:val="50011891"/>
    <w:rsid w:val="51463753"/>
    <w:rsid w:val="522A220F"/>
    <w:rsid w:val="523C7246"/>
    <w:rsid w:val="53BA3529"/>
    <w:rsid w:val="562038F6"/>
    <w:rsid w:val="56D235F1"/>
    <w:rsid w:val="58C56CB7"/>
    <w:rsid w:val="59D67C33"/>
    <w:rsid w:val="5A151E24"/>
    <w:rsid w:val="5A567682"/>
    <w:rsid w:val="5BAA7FB9"/>
    <w:rsid w:val="5E285F9C"/>
    <w:rsid w:val="5EA66A16"/>
    <w:rsid w:val="5EC9333E"/>
    <w:rsid w:val="606721D5"/>
    <w:rsid w:val="60804AB0"/>
    <w:rsid w:val="60AB739F"/>
    <w:rsid w:val="60F24B7B"/>
    <w:rsid w:val="622B6237"/>
    <w:rsid w:val="62FC3469"/>
    <w:rsid w:val="660D2F59"/>
    <w:rsid w:val="677538E2"/>
    <w:rsid w:val="68DB6789"/>
    <w:rsid w:val="69126A56"/>
    <w:rsid w:val="6BE513EB"/>
    <w:rsid w:val="6C221795"/>
    <w:rsid w:val="6D611D5A"/>
    <w:rsid w:val="6D6F700D"/>
    <w:rsid w:val="6DED40E1"/>
    <w:rsid w:val="6E597A7A"/>
    <w:rsid w:val="6EE4021E"/>
    <w:rsid w:val="6FA65D8F"/>
    <w:rsid w:val="73373E54"/>
    <w:rsid w:val="758415F2"/>
    <w:rsid w:val="759F66BD"/>
    <w:rsid w:val="75CD79F2"/>
    <w:rsid w:val="75E67B42"/>
    <w:rsid w:val="77CE4490"/>
    <w:rsid w:val="77DE18BA"/>
    <w:rsid w:val="787F1438"/>
    <w:rsid w:val="795968CD"/>
    <w:rsid w:val="7970100E"/>
    <w:rsid w:val="7983386B"/>
    <w:rsid w:val="7A161F65"/>
    <w:rsid w:val="7C607FF3"/>
    <w:rsid w:val="7E5705A8"/>
    <w:rsid w:val="7F4928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qFormat/>
    <w:uiPriority w:val="99"/>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3</TotalTime>
  <ScaleCrop>false</ScaleCrop>
  <LinksUpToDate>false</LinksUpToDate>
  <CharactersWithSpaces>21168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2021-12-30T12:19:37Z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2052-11.1.0.11194</vt:lpwstr>
  </property>
</Properties>
</file>