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0035" cy="9462135"/>
            <wp:effectExtent l="0" t="0" r="12065" b="12065"/>
            <wp:docPr id="1" name="图片 1" descr="新文档 2022-01-13 10.53.1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13 10.53.1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946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石家庄顺通科技有限公司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bookmarkStart w:id="24" w:name="_GoBack"/>
            <w:r>
              <w:rPr>
                <w:rFonts w:asciiTheme="minorEastAsia" w:hAnsiTheme="minorEastAsia" w:eastAsiaTheme="minorEastAsia"/>
                <w:sz w:val="20"/>
              </w:rPr>
              <w:t>石家庄高新区郄马镇东佐村村南</w:t>
            </w:r>
            <w:bookmarkEnd w:id="1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石家庄高新区郄马镇东佐村村南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任冉冉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17733826829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0016-2020-EO-2022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E：混凝土灌注桩用钢壁声测管、钢筋连接接头的销售及其场所所涉及的相关环境管理活动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O：混凝土灌注桩用钢壁声测管、钢筋连接接头的销售及其场所所涉及的相关职业健康安全管理活动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2022年01月12日 上午至2022年01月13日 上午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1.5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tbl>
      <w:tblPr>
        <w:tblStyle w:val="6"/>
        <w:tblpPr w:leftFromText="180" w:rightFromText="180" w:vertAnchor="text" w:horzAnchor="page" w:tblpX="863" w:tblpY="284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文件化信息；人员、组织知识；能力；意识；沟通；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员工的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参与和协商；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运行控制；应急准备和响应；合规义务；法律法规要求；绩效的监视和测量；合规性评价；内部审核；不合格及纠正措施控制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8.1/8.2/9.1/9.2/10.2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2022.1.13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A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55A0B"/>
    <w:rsid w:val="5E197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2022-01-14T09:25:06Z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