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1332-2021-Q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西安特普讯仪器设备有限公司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2022年02月10日 上午至2022年02月10日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李宝花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2019-N1QMS-1239141</w:t>
            </w:r>
          </w:p>
        </w:tc>
        <w:tc>
          <w:tcPr>
            <w:tcW w:w="1140" w:type="dxa"/>
            <w:vAlign w:val="center"/>
          </w:tcPr>
          <w:p>
            <w:pPr>
              <w:spacing w:line="240" w:lineRule="exact"/>
              <w:jc w:val="center"/>
              <w:rPr>
                <w:b/>
                <w:color w:val="000000"/>
                <w:szCs w:val="21"/>
              </w:rPr>
            </w:pPr>
            <w:r>
              <w:rPr>
                <w:b/>
                <w:color w:val="000000"/>
                <w:szCs w:val="21"/>
              </w:rPr>
              <w:t>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西安特普讯仪器设备有限公司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陕西省西安市高新区太白南路与丈八东路什字西北角高山流水·和城5幢2单元22104室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710065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西安高新区西部大道190号晟源科技园5号楼2层C户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710119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蔺云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hAnsi="宋体"/>
                <w:b/>
                <w:color w:val="000000"/>
                <w:szCs w:val="21"/>
              </w:rPr>
              <w:t>13992875093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史红梅</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张宏丽</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3" w:name="审核范围"/>
            <w:r>
              <w:t>分子蒸馏系统，刮膜蒸发器，过滤器</w:t>
            </w:r>
            <w:bookmarkEnd w:id="33"/>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auto"/>
                <w:szCs w:val="21"/>
              </w:rPr>
            </w:pPr>
            <w:r>
              <w:rPr>
                <w:rFonts w:hint="eastAsia" w:ascii="宋体" w:hAnsi="宋体"/>
                <w:color w:val="auto"/>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ind w:firstLine="402" w:firstLineChars="200"/>
              <w:rPr>
                <w:b/>
                <w:sz w:val="20"/>
              </w:rPr>
            </w:pPr>
            <w:bookmarkStart w:id="34" w:name="_Hlk95481633"/>
            <w:r>
              <w:rPr>
                <w:rFonts w:hint="eastAsia"/>
                <w:b/>
                <w:sz w:val="20"/>
              </w:rPr>
              <w:t>分子蒸馏系统生产流程：原材料检验-单元生产（温控单元、真空单元、电控单元：切割管材--内部配件摆放和焊接--接线--温控单元保温层制作--打压测试--充制冷剂并调试设备）-（与外购件蒸发室、进料罐、外冷阱）组件装配调试-发货</w:t>
            </w:r>
            <w:bookmarkEnd w:id="34"/>
          </w:p>
          <w:p>
            <w:pPr>
              <w:spacing w:line="360" w:lineRule="auto"/>
              <w:ind w:firstLine="402" w:firstLineChars="200"/>
              <w:rPr>
                <w:b/>
                <w:sz w:val="20"/>
              </w:rPr>
            </w:pPr>
            <w:r>
              <w:rPr>
                <w:rFonts w:hint="eastAsia"/>
                <w:b/>
                <w:sz w:val="20"/>
              </w:rPr>
              <w:t>刮膜蒸发系统生产流程：原材料检验-单元生产（温控单元、真空单元、电控单元：切割管材--内部配件摆放和焊接--接线--温控单元保温层制作--打压测试--充制冷剂并调试设备）-（温控单元、真空单元、电控单元与外购件蒸发室、外冷阱）组件装配调试-发货</w:t>
            </w:r>
          </w:p>
          <w:p>
            <w:pPr>
              <w:tabs>
                <w:tab w:val="left" w:pos="360"/>
              </w:tabs>
              <w:ind w:left="360" w:hanging="360"/>
              <w:rPr>
                <w:rFonts w:ascii="宋体"/>
                <w:color w:val="000000"/>
                <w:szCs w:val="21"/>
              </w:rPr>
            </w:pPr>
            <w:r>
              <w:rPr>
                <w:rFonts w:hint="eastAsia"/>
                <w:b/>
                <w:sz w:val="20"/>
              </w:rPr>
              <w:t>过滤器生产流程：原材料检验-切割管材-组装-检验和调试设备-打包发货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分子蒸馏系统，刮膜蒸发器，过滤器的生产</w:t>
            </w:r>
          </w:p>
        </w:tc>
        <w:tc>
          <w:tcPr>
            <w:tcW w:w="2006" w:type="dxa"/>
            <w:gridSpan w:val="3"/>
            <w:vAlign w:val="center"/>
          </w:tcPr>
          <w:p>
            <w:pPr>
              <w:spacing w:line="400" w:lineRule="exact"/>
              <w:rPr>
                <w:rFonts w:ascii="宋体" w:hAnsi="宋体"/>
                <w:b/>
                <w:color w:val="000000"/>
                <w:szCs w:val="21"/>
              </w:rPr>
            </w:pPr>
            <w:bookmarkStart w:id="35" w:name="专业代码"/>
            <w:r>
              <w:t>18.05.07</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西安特普讯仪器设备有限公司</w:t>
            </w:r>
            <w:r>
              <w:rPr>
                <w:rFonts w:hint="eastAsia"/>
                <w:sz w:val="21"/>
                <w:szCs w:val="21"/>
                <w:lang w:eastAsia="zh-CN"/>
              </w:rPr>
              <w:t>、</w:t>
            </w:r>
            <w:r>
              <w:rPr>
                <w:sz w:val="21"/>
                <w:szCs w:val="21"/>
              </w:rPr>
              <w:t>陕西省西安市高新区太白南路与丈八东路什字西北角高山流水·和城5幢2单元22104室</w:t>
            </w:r>
          </w:p>
        </w:tc>
        <w:tc>
          <w:tcPr>
            <w:tcW w:w="2267" w:type="dxa"/>
          </w:tcPr>
          <w:p>
            <w:pPr>
              <w:spacing w:before="40" w:after="40"/>
              <w:rPr>
                <w:rFonts w:eastAsia="黑体"/>
                <w:szCs w:val="21"/>
                <w:lang w:val="de-DE" w:eastAsia="ja-JP"/>
              </w:rPr>
            </w:pPr>
            <w:r>
              <w:rPr>
                <w:sz w:val="21"/>
                <w:szCs w:val="21"/>
              </w:rPr>
              <w:t>西安高新区西部大道190号晟源科技园5号楼2层C户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t>分子蒸馏系统，刮膜蒸发器，过滤器的生产</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11月2-3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2022-02-1</w:t>
            </w:r>
            <w:bookmarkEnd w:id="36"/>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7" w:name="_GoBack"/>
            <w:bookmarkEnd w:id="37"/>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2022.2.10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A3"/>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A1030B"/>
    <w:rsid w:val="32034EF7"/>
    <w:rsid w:val="3211231C"/>
    <w:rsid w:val="4CD81C2C"/>
    <w:rsid w:val="4E600035"/>
    <w:rsid w:val="56B41BEA"/>
    <w:rsid w:val="7A354562"/>
    <w:rsid w:val="7EAE38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2022-02-24T07:29:22Z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