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889"/>
        <w:gridCol w:w="948"/>
        <w:gridCol w:w="1416"/>
        <w:gridCol w:w="86"/>
        <w:gridCol w:w="1004"/>
        <w:gridCol w:w="934"/>
        <w:gridCol w:w="548"/>
        <w:gridCol w:w="383"/>
        <w:gridCol w:w="381"/>
        <w:gridCol w:w="416"/>
        <w:gridCol w:w="333"/>
        <w:gridCol w:w="1455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晋江市实秋商贸有限公司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福建省泉州市晋江市青阳街道霞行社区埔尾2号前面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福建省泉州市晋江市青阳街道霞行社区埔尾2号前面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庄树群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13905971087</w:t>
            </w:r>
            <w:bookmarkEnd w:id="4"/>
          </w:p>
        </w:tc>
        <w:tc>
          <w:tcPr>
            <w:tcW w:w="7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庄树群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535237176@qq.com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0757-2020-F-2022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19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60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62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0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62" w:type="dxa"/>
            <w:gridSpan w:val="13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0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62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2" w:type="dxa"/>
            <w:gridSpan w:val="13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136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89" w:type="dxa"/>
            <w:gridSpan w:val="9"/>
            <w:vAlign w:val="center"/>
          </w:tcPr>
          <w:p>
            <w:pPr>
              <w:spacing w:line="240" w:lineRule="auto"/>
              <w:rPr>
                <w:sz w:val="20"/>
              </w:rPr>
            </w:pPr>
            <w:bookmarkStart w:id="32" w:name="_GoBack"/>
            <w:bookmarkStart w:id="21" w:name="审核范围"/>
            <w:r>
              <w:rPr>
                <w:sz w:val="20"/>
              </w:rPr>
              <w:t>位于福建省泉州市晋江市青阳街道霞行社区埔尾2号前面晋江市实秋商贸有限公司农副产品（果蔬、鲜畜禽肉、水产品）的销售、预包装食品（粮油、调味品、肉类冻品、）的销售（运输）</w:t>
            </w:r>
            <w:bookmarkEnd w:id="32"/>
            <w:bookmarkEnd w:id="21"/>
          </w:p>
        </w:tc>
        <w:tc>
          <w:tcPr>
            <w:tcW w:w="416" w:type="dxa"/>
            <w:vAlign w:val="center"/>
          </w:tcPr>
          <w:p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GI;GII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0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2022年02月10日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至2022年02月10日 下午</w:t>
            </w:r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0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6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r>
              <w:rPr>
                <w:rFonts w:hint="eastAsia"/>
                <w:b/>
                <w:sz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2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46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GI,GII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465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8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8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/>
        </w:tc>
        <w:tc>
          <w:tcPr>
            <w:tcW w:w="15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03" w:type="dxa"/>
            <w:vAlign w:val="center"/>
          </w:tcPr>
          <w:p/>
        </w:tc>
        <w:tc>
          <w:tcPr>
            <w:tcW w:w="8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Align w:val="center"/>
          </w:tcPr>
          <w:p/>
        </w:tc>
        <w:tc>
          <w:tcPr>
            <w:tcW w:w="1513" w:type="dxa"/>
            <w:gridSpan w:val="4"/>
            <w:vAlign w:val="center"/>
          </w:tcPr>
          <w:p/>
        </w:tc>
        <w:tc>
          <w:tcPr>
            <w:tcW w:w="15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465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2021-01-30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W w:w="1044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33"/>
        <w:gridCol w:w="759"/>
        <w:gridCol w:w="5021"/>
        <w:gridCol w:w="1691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42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2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02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1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2022-02-10全天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021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021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内外部因素、相关方的需求和期望、体系策划过程、</w:t>
            </w:r>
            <w:r>
              <w:rPr>
                <w:rFonts w:hint="eastAsia" w:ascii="宋体" w:hAnsi="宋体"/>
                <w:sz w:val="18"/>
                <w:szCs w:val="18"/>
              </w:rPr>
              <w:t>认证范围、过程方法、领导作用、岗位和职责、方针和目标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风险和机遇的策划、</w:t>
            </w:r>
            <w:r>
              <w:rPr>
                <w:rFonts w:hint="eastAsia"/>
                <w:sz w:val="18"/>
                <w:szCs w:val="18"/>
              </w:rPr>
              <w:t>资源、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沟通、监视、测量、分析和评估【总则】、</w:t>
            </w:r>
            <w:r>
              <w:rPr>
                <w:rFonts w:hint="eastAsia" w:cs="Arial"/>
                <w:bCs/>
                <w:sz w:val="18"/>
                <w:szCs w:val="18"/>
              </w:rPr>
              <w:t>内部审核、管理评审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不合格和纠正措施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持续改进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食品安全管理体系的更新；</w:t>
            </w:r>
            <w:r>
              <w:rPr>
                <w:rFonts w:hint="eastAsia" w:ascii="宋体" w:hAnsi="宋体"/>
                <w:sz w:val="18"/>
                <w:szCs w:val="18"/>
              </w:rPr>
              <w:t>重大投诉处理、重大体系事故和变更管理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产品召回、行业抽查情况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初审不符合项的确认、证书使用情况、资质是否发生变更等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eastAsia" w:cs="Arial"/>
                <w:bCs/>
                <w:sz w:val="18"/>
                <w:szCs w:val="18"/>
              </w:rPr>
              <w:t>9.3/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10.1/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/10.3</w:t>
            </w:r>
          </w:p>
          <w:p>
            <w:pPr>
              <w:spacing w:line="240" w:lineRule="auto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7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10:00-12:00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5021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食品安全小组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组成</w:t>
            </w:r>
            <w:r>
              <w:rPr>
                <w:rFonts w:hint="eastAsia" w:ascii="宋体" w:hAnsi="宋体"/>
                <w:sz w:val="18"/>
                <w:szCs w:val="18"/>
              </w:rPr>
              <w:t>及职责、外部开发的食品安全管理体系要素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前提方案、实施危害分析的预备步骤、危害分析、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OPRP计划/HACCP计划</w:t>
            </w:r>
            <w:r>
              <w:rPr>
                <w:rFonts w:hint="eastAsia" w:ascii="宋体" w:hAnsi="宋体"/>
                <w:sz w:val="18"/>
                <w:szCs w:val="18"/>
              </w:rPr>
              <w:t>的建立、规定前提方案（PRP）和危害控制计划的信息的更新、与前提方案（PRPs）和危害控制计划有关的验证、分析和评估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8.1/8.2/8.5/8.6/8.8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/9.1.2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cs="Arial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</w:pPr>
          </w:p>
        </w:tc>
        <w:tc>
          <w:tcPr>
            <w:tcW w:w="5021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cs="Arial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12:30-15:30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宋体" w:hAnsi="宋体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运营部及现场</w:t>
            </w:r>
          </w:p>
        </w:tc>
        <w:tc>
          <w:tcPr>
            <w:tcW w:w="50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/>
                <w:sz w:val="18"/>
                <w:szCs w:val="18"/>
              </w:rPr>
              <w:t>基础设施、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eastAsia"/>
                <w:sz w:val="18"/>
                <w:szCs w:val="18"/>
              </w:rPr>
              <w:t>、工作环境控制、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外部提供流程、产品或服务的控制、</w:t>
            </w:r>
            <w:r>
              <w:rPr>
                <w:sz w:val="18"/>
                <w:szCs w:val="18"/>
              </w:rPr>
              <w:t>(PRPs)</w:t>
            </w:r>
            <w:r>
              <w:rPr>
                <w:rFonts w:hint="eastAsia"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val="en-US" w:eastAsia="zh-CN" w:bidi="ar"/>
              </w:rPr>
              <w:t>监视和测量的控制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产品和过程的不合格项控制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/8.7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8.9</w:t>
            </w:r>
          </w:p>
        </w:tc>
        <w:tc>
          <w:tcPr>
            <w:tcW w:w="1017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15:30-16:30</w:t>
            </w:r>
          </w:p>
        </w:tc>
        <w:tc>
          <w:tcPr>
            <w:tcW w:w="759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rPr>
                <w:rFonts w:hint="default" w:ascii="楷体_GB2312" w:hAnsi="Times New Roman" w:eastAsia="楷体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kern w:val="2"/>
                <w:sz w:val="18"/>
                <w:szCs w:val="18"/>
                <w:lang w:val="en-US" w:eastAsia="zh-CN" w:bidi="ar-SA"/>
              </w:rPr>
              <w:t>综合</w:t>
            </w:r>
            <w:r>
              <w:rPr>
                <w:rFonts w:hint="eastAsia" w:ascii="楷体_GB2312" w:eastAsia="楷体_GB2312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5021" w:type="dxa"/>
            <w:shd w:val="clear" w:color="auto" w:fill="auto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职责、文件和记录管理；内外部沟通、人员健康管理、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人员资质</w:t>
            </w:r>
            <w:r>
              <w:rPr>
                <w:rFonts w:hint="eastAsia" w:cs="Arial"/>
                <w:bCs/>
                <w:sz w:val="18"/>
                <w:szCs w:val="18"/>
              </w:rPr>
              <w:t>、人员招聘、员工培训及有效性评价；</w:t>
            </w:r>
          </w:p>
        </w:tc>
        <w:tc>
          <w:tcPr>
            <w:tcW w:w="1691" w:type="dxa"/>
            <w:shd w:val="clear" w:color="auto" w:fill="auto"/>
            <w:noWrap w:val="0"/>
            <w:vAlign w:val="top"/>
          </w:tcPr>
          <w:p>
            <w:pPr>
              <w:pStyle w:val="14"/>
              <w:spacing w:after="0" w:line="240" w:lineRule="auto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</w:t>
            </w:r>
          </w:p>
          <w:p>
            <w:pPr>
              <w:pStyle w:val="14"/>
              <w:spacing w:after="0" w:line="240" w:lineRule="auto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7.1.2/7.2/7.3/7.4/7.5</w:t>
            </w:r>
          </w:p>
        </w:tc>
        <w:tc>
          <w:tcPr>
            <w:tcW w:w="1017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1" w:type="dxa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0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1" w:type="dxa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7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Chars="0"/>
        <w:textAlignment w:val="auto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D2528D6"/>
    <w:rsid w:val="1D98686D"/>
    <w:rsid w:val="51C44AC1"/>
    <w:rsid w:val="7557393B"/>
    <w:rsid w:val="7B0340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2022-02-10T08:46:06Z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