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-112395</wp:posOffset>
            </wp:positionH>
            <wp:positionV relativeFrom="paragraph">
              <wp:posOffset>72390</wp:posOffset>
            </wp:positionV>
            <wp:extent cx="6400800" cy="9292590"/>
            <wp:effectExtent l="0" t="0" r="0" b="3810"/>
            <wp:wrapNone/>
            <wp:docPr id="3" name="图片 3" descr="新文档 2022-01-02 14.58.0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2-01-02 14.58.05_8"/>
                    <pic:cNvPicPr>
                      <a:picLocks noChangeAspect="1"/>
                    </pic:cNvPicPr>
                  </pic:nvPicPr>
                  <pic:blipFill>
                    <a:blip r:embed="rId6"/>
                    <a:stretch>
                      <a:fillRect/>
                    </a:stretch>
                  </pic:blipFill>
                  <pic:spPr>
                    <a:xfrm>
                      <a:off x="0" y="0"/>
                      <a:ext cx="6400800" cy="929259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河北博景路桥工程有限公司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0049-2021-QEO-2021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AB2407"/>
    <w:rsid w:val="65BD3C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2022-01-05T06:45:31Z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