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77940" cy="9460865"/>
            <wp:effectExtent l="0" t="0" r="10160" b="635"/>
            <wp:docPr id="1" name="图片 1" descr="新文档 2022-01-02 14.58.0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1-02 14.58.05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946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0" w:name="_GoBack"/>
      <w:bookmarkEnd w:id="20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441"/>
        <w:gridCol w:w="628"/>
        <w:gridCol w:w="479"/>
        <w:gridCol w:w="172"/>
        <w:gridCol w:w="341"/>
        <w:gridCol w:w="138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河北博景路桥工程有限公司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河北省衡水滨湖新区彭社乡半壁店村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河北省衡水滨湖新区彭社乡半壁店村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侯玉建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18732815678</w:t>
            </w:r>
            <w:bookmarkEnd w:id="4"/>
          </w:p>
        </w:tc>
        <w:tc>
          <w:tcPr>
            <w:tcW w:w="628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372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2443113709@qq.com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0049-2021-QEO-2021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671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807" w:type="dxa"/>
            <w:gridSpan w:val="9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3" w:name="审核范围"/>
            <w:r>
              <w:rPr>
                <w:b w:val="0"/>
                <w:bCs w:val="0"/>
                <w:sz w:val="20"/>
              </w:rPr>
              <w:t>Q：橡胶支座、盆式橡胶支座、球形支座、伸缩缝、止水带、橡胶垫的生产，聚乙烯泡沫板、密封胶（止水胶）、土工材料、防水材料的销售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E：橡胶支座、盆式橡胶支座、球形支座、伸缩缝、止水带、橡胶垫的生产，聚乙烯泡沫板、密封胶（止水胶）、土工材料、防水材料的销售所涉及场所的相关环境管理活动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O：橡胶支座、盆式橡胶支座、球形支座、伸缩缝、止水带、橡胶垫的生产，聚乙烯泡沫板、密封胶（止水胶）、土工材料、防水材料的销售所涉及场所的相关职业健康安全管理活动</w:t>
            </w:r>
            <w:bookmarkEnd w:id="13"/>
          </w:p>
        </w:tc>
        <w:tc>
          <w:tcPr>
            <w:tcW w:w="479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924" w:type="dxa"/>
            <w:gridSpan w:val="4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Q：14.01.02;29.12.00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E：14.01.02;29.12.00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O：14.01.02;29.12.00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6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17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 w:val="0"/>
                <w:bCs w:val="0"/>
                <w:sz w:val="20"/>
              </w:rPr>
              <w:t>2021年12月25日 上午至2021年12月25日 下午</w:t>
            </w:r>
            <w:bookmarkEnd w:id="18"/>
            <w:r>
              <w:rPr>
                <w:rFonts w:hint="eastAsia"/>
                <w:b w:val="0"/>
                <w:bCs w:val="0"/>
                <w:sz w:val="20"/>
              </w:rPr>
              <w:t>(共</w:t>
            </w:r>
            <w:bookmarkStart w:id="19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19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Q:14.01.02,29.12.00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E:14.01.02,29.12.00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O:14.01.02,29.12.00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2021-N1EMS-1244880</w:t>
            </w:r>
          </w:p>
        </w:tc>
        <w:tc>
          <w:tcPr>
            <w:tcW w:w="2995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Q:14.01.02,29.12.00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E:14.01.02,29.12.00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0"/>
                <w:lang w:val="de-DE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2021.12.20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09"/>
        <w:gridCol w:w="6373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2021.12.25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资质查验、范围再确认、证书使用情况、相关方投诉情况、上级检查情况、上次不符合的验证；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eastAsia"/>
                <w:sz w:val="21"/>
                <w:szCs w:val="21"/>
              </w:rPr>
              <w:t>危险源辨识；合规性评价；管理评审；总则；持续改进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A审核QEO9.3；O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B审核QE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、指标管理方案；环境因素/危险源识别评价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6.2/6.1.2/6.1.3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8.1/8.2/9.1/10.2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B审核QE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；E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6.1.2/6.1.3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8.1/8.2/9.1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目标；基础设施；监视和测量资源；运行环境；运行的策划和控制；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/8.5.6/8.6/8.7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；目标、指标管理方案；环境因素/危险源识别评价；运行的策划和控制；产品和服务要求；外部提供的过程、产品和服务的控制；生产和服务提供的控制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运行的策划和控制；应急准备和响应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/>
                <w:sz w:val="21"/>
                <w:szCs w:val="21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5/</w:t>
            </w:r>
            <w:r>
              <w:rPr>
                <w:rFonts w:hint="eastAsia"/>
                <w:sz w:val="21"/>
                <w:szCs w:val="21"/>
              </w:rPr>
              <w:t>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A审核QEO</w:t>
            </w:r>
            <w:r>
              <w:rPr>
                <w:rFonts w:hint="eastAsia"/>
                <w:sz w:val="21"/>
                <w:szCs w:val="21"/>
              </w:rPr>
              <w:t>5.3/6.2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6.1.2/8.1/8.2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901A00"/>
    <w:rsid w:val="57F02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8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2022-01-05T06:42:00Z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