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重庆旭纳科技有限责任公司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lang w:eastAsia="zh-CN"/>
              </w:rPr>
              <w:t>戴勤燕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2021年12月27日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查供方年度绩效评价，不能提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杭州海康威视数字技术股份有限公司重庆分公司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的评价</w:t>
            </w:r>
            <w:r>
              <w:rPr>
                <w:rFonts w:hint="eastAsia" w:ascii="方正仿宋简体" w:eastAsia="方正仿宋简体"/>
                <w:b/>
              </w:rPr>
              <w:t>资料。不符合标准8.4.1）组织应基于外部供方按照耍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2015标准 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14605</wp:posOffset>
                  </wp:positionV>
                  <wp:extent cx="582930" cy="294005"/>
                  <wp:effectExtent l="0" t="0" r="1270" b="1079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46355</wp:posOffset>
                  </wp:positionV>
                  <wp:extent cx="582930" cy="294005"/>
                  <wp:effectExtent l="0" t="0" r="1270" b="1079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8CC565A"/>
    <w:rsid w:val="5C9B0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2021-12-24T02:16:42Z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