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0732-2020-QEO-2021</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海南河道综合整治工程有限公司</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海南河道综合整治工程有限公司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海南省昌江黎族自治县石碌镇环城西一路海钢八达城7号</w:t>
            </w:r>
          </w:p>
        </w:tc>
        <w:tc>
          <w:tcPr>
            <w:tcW w:w="1242" w:type="dxa"/>
            <w:vMerge w:val="restart"/>
            <w:vAlign w:val="center"/>
          </w:tcPr>
          <w:p>
            <w:r>
              <w:rPr>
                <w:rFonts w:hint="eastAsia"/>
              </w:rPr>
              <w:t>邮编</w:t>
            </w:r>
          </w:p>
        </w:tc>
        <w:tc>
          <w:tcPr>
            <w:tcW w:w="1771" w:type="dxa"/>
            <w:vAlign w:val="top"/>
          </w:tcPr>
          <w:p>
            <w:r>
              <w:t>572700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海南省昌江黎族自治县石碌镇环城西一路海钢八达城7号</w:t>
            </w:r>
          </w:p>
        </w:tc>
        <w:tc>
          <w:tcPr>
            <w:tcW w:w="1242" w:type="dxa"/>
            <w:vMerge w:val="continue"/>
            <w:vAlign w:val="center"/>
          </w:tcPr>
          <w:p/>
        </w:tc>
        <w:tc>
          <w:tcPr>
            <w:tcW w:w="1771" w:type="dxa"/>
            <w:vAlign w:val="top"/>
          </w:tcPr>
          <w:p>
            <w:r>
              <w:t>572700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张萝建</w:t>
            </w:r>
          </w:p>
        </w:tc>
        <w:tc>
          <w:tcPr>
            <w:tcW w:w="1313" w:type="dxa"/>
            <w:vAlign w:val="center"/>
          </w:tcPr>
          <w:p>
            <w:r>
              <w:rPr>
                <w:rFonts w:hint="eastAsia"/>
              </w:rPr>
              <w:t>电话.</w:t>
            </w:r>
          </w:p>
        </w:tc>
        <w:tc>
          <w:tcPr>
            <w:tcW w:w="2180" w:type="dxa"/>
            <w:vAlign w:val="center"/>
          </w:tcPr>
          <w:p>
            <w:r>
              <w:t>13976905724</w:t>
            </w:r>
          </w:p>
        </w:tc>
        <w:tc>
          <w:tcPr>
            <w:tcW w:w="1242" w:type="dxa"/>
            <w:vAlign w:val="center"/>
          </w:tcPr>
          <w:p>
            <w:r>
              <w:rPr>
                <w:rFonts w:hint="eastAsia"/>
              </w:rPr>
              <w:t>传真</w:t>
            </w:r>
          </w:p>
        </w:tc>
        <w:tc>
          <w:tcPr>
            <w:tcW w:w="1771" w:type="dxa"/>
          </w:tcPr>
          <w:p>
            <w:bookmarkStart w:id="3" w:name="联系人传真"/>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杨建青</w:t>
            </w:r>
          </w:p>
        </w:tc>
        <w:tc>
          <w:tcPr>
            <w:tcW w:w="1313" w:type="dxa"/>
            <w:vAlign w:val="center"/>
          </w:tcPr>
          <w:p>
            <w:r>
              <w:rPr>
                <w:rFonts w:hint="eastAsia"/>
              </w:rPr>
              <w:t>管理者代表</w:t>
            </w:r>
          </w:p>
        </w:tc>
        <w:tc>
          <w:tcPr>
            <w:tcW w:w="2180" w:type="dxa"/>
            <w:vAlign w:val="top"/>
          </w:tcPr>
          <w:p>
            <w:r>
              <w:t>邓志刚</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ascii="宋体"/>
                <w:color w:val="000000"/>
                <w:szCs w:val="21"/>
              </w:rPr>
            </w:pPr>
            <w:r>
              <w:rPr>
                <w:rFonts w:hint="eastAsia" w:ascii="宋体"/>
                <w:color w:val="000000"/>
                <w:szCs w:val="21"/>
              </w:rPr>
              <w:t>业务流程图：</w:t>
            </w:r>
          </w:p>
          <w:p>
            <w:pPr>
              <w:tabs>
                <w:tab w:val="left" w:pos="360"/>
              </w:tabs>
              <w:ind w:left="360" w:hanging="360"/>
              <w:rPr>
                <w:rFonts w:hint="eastAsia" w:ascii="宋体"/>
                <w:color w:val="000000"/>
                <w:szCs w:val="21"/>
              </w:rPr>
            </w:pPr>
            <w:r>
              <w:rPr>
                <w:rFonts w:hint="eastAsia" w:ascii="宋体"/>
                <w:color w:val="000000"/>
                <w:szCs w:val="21"/>
              </w:rPr>
              <w:t>业务洽谈→签订合同→备货→验货→出货→客户管理→持续改进</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4" w:name="审核日期"/>
            <w:r>
              <w:rPr>
                <w:rFonts w:hint="eastAsia"/>
                <w:b/>
                <w:sz w:val="20"/>
              </w:rPr>
              <w:t>2022年01月14日 上午至2022年01月15日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bookmarkStart w:id="5" w:name="初审"/>
            <w:r>
              <w:rPr>
                <w:rFonts w:hint="eastAsia"/>
              </w:rPr>
              <w:t>■</w:t>
            </w:r>
            <w:bookmarkEnd w:id="5"/>
            <w:r>
              <w:rPr>
                <w:rFonts w:hint="eastAsia"/>
              </w:rPr>
              <w:t>监督审核：评价组织管理体系的持续符合性和有效性，以确定是否推荐保持认证证书。</w:t>
            </w:r>
          </w:p>
          <w:p>
            <w:bookmarkStart w:id="6" w:name="再认证勾选Add1"/>
            <w:r>
              <w:rPr>
                <w:rFonts w:hint="eastAsia"/>
              </w:rPr>
              <w:t>□</w:t>
            </w:r>
            <w:bookmarkEnd w:id="6"/>
            <w:r>
              <w:rPr>
                <w:rFonts w:hint="eastAsia"/>
              </w:rPr>
              <w:t>再认证：评价组织管理体系整体的持续符合性和有效性，以确定是否推荐更新认证并换发认证证书。</w:t>
            </w:r>
          </w:p>
          <w:p>
            <w:bookmarkStart w:id="7" w:name="扩项勾选"/>
            <w:r>
              <w:rPr>
                <w:rFonts w:hint="eastAsia"/>
              </w:rPr>
              <w:t>□</w:t>
            </w:r>
            <w:bookmarkEnd w:id="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8" w:name="Q勾选Add1"/>
            <w:r>
              <w:rPr>
                <w:rFonts w:hint="eastAsia"/>
                <w:lang w:val="de-DE"/>
              </w:rPr>
              <w:t>■</w:t>
            </w:r>
            <w:bookmarkEnd w:id="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9" w:name="QJ勾选Add1"/>
            <w:r>
              <w:rPr>
                <w:rFonts w:hint="eastAsia"/>
                <w:lang w:val="de-DE"/>
              </w:rPr>
              <w:t>□</w:t>
            </w:r>
            <w:bookmarkEnd w:id="9"/>
            <w:r>
              <w:rPr>
                <w:rFonts w:hint="eastAsia"/>
                <w:lang w:val="de-DE"/>
              </w:rPr>
              <w:t>GB/T 50430-2017</w:t>
            </w:r>
          </w:p>
          <w:p>
            <w:pPr>
              <w:rPr>
                <w:lang w:val="de-DE"/>
              </w:rPr>
            </w:pPr>
            <w:bookmarkStart w:id="10" w:name="E勾选Add1"/>
            <w:r>
              <w:rPr>
                <w:rFonts w:hint="eastAsia"/>
                <w:lang w:val="de-DE"/>
              </w:rPr>
              <w:t>■</w:t>
            </w:r>
            <w:bookmarkEnd w:id="1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□初审二阶段■监督第</w:t>
            </w:r>
            <w:bookmarkStart w:id="12" w:name="监督次数"/>
            <w:bookmarkEnd w:id="12"/>
            <w:r>
              <w:rPr>
                <w:rFonts w:hint="eastAsia"/>
                <w:lang w:val="en-US" w:eastAsia="zh-CN"/>
              </w:rPr>
              <w:t>1</w:t>
            </w:r>
            <w:r>
              <w:rPr>
                <w:rFonts w:hint="eastAsia"/>
              </w:rPr>
              <w:t>次监督审核</w:t>
            </w:r>
            <w:bookmarkStart w:id="13" w:name="再认证勾选"/>
            <w:r>
              <w:rPr>
                <w:rFonts w:hint="eastAsia"/>
              </w:rPr>
              <w:t>□</w:t>
            </w:r>
            <w:bookmarkEnd w:id="13"/>
            <w:r>
              <w:rPr>
                <w:rFonts w:hint="eastAsia"/>
              </w:rPr>
              <w:t>再认证</w:t>
            </w:r>
            <w:bookmarkStart w:id="14" w:name="扩项勾选Add1"/>
            <w:r>
              <w:rPr>
                <w:rFonts w:hint="eastAsia"/>
              </w:rPr>
              <w:t>□</w:t>
            </w:r>
            <w:bookmarkEnd w:id="1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bookmarkStart w:id="15" w:name="审核范围"/>
            <w:r>
              <w:t>Q：</w:t>
            </w:r>
            <w:r>
              <w:rPr>
                <w:rFonts w:hint="eastAsia"/>
                <w:lang w:eastAsia="zh-CN"/>
              </w:rPr>
              <w:t>河砂的销售</w:t>
            </w:r>
          </w:p>
          <w:p>
            <w:r>
              <w:t>E：</w:t>
            </w:r>
            <w:r>
              <w:rPr>
                <w:rFonts w:hint="eastAsia"/>
                <w:lang w:eastAsia="zh-CN"/>
              </w:rPr>
              <w:t>河砂的销售</w:t>
            </w:r>
            <w:r>
              <w:t>所涉及场所的相关环境管理活动</w:t>
            </w:r>
          </w:p>
          <w:p>
            <w:r>
              <w:t>O：</w:t>
            </w:r>
            <w:r>
              <w:rPr>
                <w:rFonts w:hint="eastAsia"/>
                <w:lang w:eastAsia="zh-CN"/>
              </w:rPr>
              <w:t>河砂的销售</w:t>
            </w:r>
            <w:r>
              <w:t>所涉及场所的相关职业健康安全管理活动</w:t>
            </w:r>
            <w:bookmarkEnd w:id="1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bookmarkStart w:id="16" w:name="专业代码"/>
            <w:r>
              <w:t>Q：</w:t>
            </w:r>
            <w:r>
              <w:rPr>
                <w:rFonts w:hint="eastAsia"/>
                <w:lang w:eastAsia="zh-CN"/>
              </w:rPr>
              <w:t>29.12.00</w:t>
            </w:r>
          </w:p>
          <w:p>
            <w:pPr>
              <w:rPr>
                <w:rFonts w:hint="eastAsia" w:eastAsia="宋体"/>
                <w:lang w:eastAsia="zh-CN"/>
              </w:rPr>
            </w:pPr>
            <w:r>
              <w:t>E：</w:t>
            </w:r>
            <w:r>
              <w:rPr>
                <w:rFonts w:hint="eastAsia"/>
                <w:lang w:eastAsia="zh-CN"/>
              </w:rPr>
              <w:t>29.12.00</w:t>
            </w:r>
          </w:p>
          <w:p>
            <w:pPr>
              <w:rPr>
                <w:rFonts w:hint="eastAsia" w:eastAsia="宋体"/>
                <w:lang w:eastAsia="zh-CN"/>
              </w:rPr>
            </w:pPr>
            <w:r>
              <w:t>O：</w:t>
            </w:r>
            <w:bookmarkEnd w:id="16"/>
            <w:r>
              <w:rPr>
                <w:rFonts w:hint="eastAsia"/>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b/>
                <w:sz w:val="20"/>
              </w:rPr>
              <w:t>202</w:t>
            </w:r>
            <w:r>
              <w:rPr>
                <w:rFonts w:hint="eastAsia"/>
                <w:b/>
                <w:sz w:val="20"/>
                <w:lang w:val="en-US" w:eastAsia="zh-CN"/>
              </w:rPr>
              <w:t>0</w:t>
            </w:r>
            <w:r>
              <w:rPr>
                <w:rFonts w:hint="eastAsia"/>
                <w:b/>
                <w:sz w:val="20"/>
              </w:rPr>
              <w:t>年</w:t>
            </w:r>
            <w:r>
              <w:rPr>
                <w:rFonts w:hint="eastAsia"/>
                <w:b/>
                <w:sz w:val="20"/>
                <w:lang w:val="en-US" w:eastAsia="zh-CN"/>
              </w:rPr>
              <w:t>05</w:t>
            </w:r>
            <w:r>
              <w:rPr>
                <w:rFonts w:hint="eastAsia"/>
                <w:b/>
                <w:sz w:val="20"/>
              </w:rPr>
              <w:t>月0</w:t>
            </w:r>
            <w:r>
              <w:rPr>
                <w:rFonts w:hint="eastAsia"/>
                <w:b/>
                <w:sz w:val="20"/>
                <w:lang w:val="en-US" w:eastAsia="zh-CN"/>
              </w:rPr>
              <w:t>8</w:t>
            </w:r>
            <w:r>
              <w:rPr>
                <w:rFonts w:hint="eastAsia"/>
                <w:b/>
                <w:sz w:val="20"/>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sz w:val="20"/>
              </w:rPr>
              <w:t>2021年04月09日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31</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eastAsia="宋体"/>
                <w:lang w:eastAsia="zh-CN"/>
              </w:rPr>
            </w:pPr>
            <w:r>
              <w:rPr>
                <w:rFonts w:hint="eastAsia"/>
                <w:lang w:eastAsia="zh-CN"/>
              </w:rPr>
              <w:t>海南河道综合整治工程有限公司</w:t>
            </w:r>
          </w:p>
          <w:p>
            <w:pPr>
              <w:spacing w:before="40" w:after="40"/>
              <w:rPr>
                <w:rFonts w:hint="eastAsia" w:eastAsia="宋体"/>
                <w:lang w:val="de-DE" w:eastAsia="zh-CN"/>
              </w:rPr>
            </w:pPr>
            <w:r>
              <w:rPr>
                <w:rFonts w:hint="eastAsia"/>
                <w:sz w:val="21"/>
                <w:szCs w:val="21"/>
                <w:lang w:eastAsia="zh-CN"/>
              </w:rPr>
              <w:t>海南省昌江黎族自治县石碌镇环城西一路海钢八达城7号</w:t>
            </w:r>
          </w:p>
        </w:tc>
        <w:tc>
          <w:tcPr>
            <w:tcW w:w="2267" w:type="dxa"/>
            <w:vAlign w:val="top"/>
          </w:tcPr>
          <w:p>
            <w:pPr>
              <w:spacing w:before="40" w:after="40"/>
              <w:rPr>
                <w:rFonts w:hint="eastAsia" w:eastAsia="宋体"/>
                <w:lang w:val="de-DE" w:eastAsia="zh-CN"/>
              </w:rPr>
            </w:pPr>
            <w:r>
              <w:rPr>
                <w:rFonts w:hint="eastAsia"/>
                <w:sz w:val="21"/>
                <w:szCs w:val="21"/>
                <w:lang w:eastAsia="zh-CN"/>
              </w:rPr>
              <w:t>海南省昌江黎族自治县石碌镇环城西一路海钢八达城7号</w:t>
            </w:r>
          </w:p>
        </w:tc>
        <w:tc>
          <w:tcPr>
            <w:tcW w:w="571" w:type="dxa"/>
            <w:vAlign w:val="center"/>
          </w:tcPr>
          <w:p>
            <w:pPr>
              <w:spacing w:before="40" w:after="40"/>
              <w:rPr>
                <w:lang w:eastAsia="ja-JP"/>
              </w:rPr>
            </w:pPr>
            <w:r>
              <w:rPr>
                <w:rFonts w:hint="eastAsia" w:eastAsia="黑体"/>
                <w:szCs w:val="21"/>
                <w:lang w:val="en-US" w:eastAsia="zh-CN"/>
              </w:rPr>
              <w:t>25</w:t>
            </w:r>
          </w:p>
        </w:tc>
        <w:tc>
          <w:tcPr>
            <w:tcW w:w="2803" w:type="dxa"/>
            <w:vAlign w:val="center"/>
          </w:tcPr>
          <w:p>
            <w:pPr>
              <w:rPr>
                <w:rFonts w:hint="eastAsia" w:eastAsia="宋体"/>
                <w:lang w:eastAsia="zh-CN"/>
              </w:rPr>
            </w:pPr>
            <w:r>
              <w:t>Q：</w:t>
            </w:r>
            <w:r>
              <w:rPr>
                <w:rFonts w:hint="eastAsia"/>
                <w:lang w:eastAsia="zh-CN"/>
              </w:rPr>
              <w:t>河砂的销售</w:t>
            </w:r>
          </w:p>
          <w:p>
            <w:r>
              <w:t>E：</w:t>
            </w:r>
            <w:r>
              <w:rPr>
                <w:rFonts w:hint="eastAsia"/>
                <w:lang w:eastAsia="zh-CN"/>
              </w:rPr>
              <w:t>河砂的销售</w:t>
            </w:r>
            <w:r>
              <w:t>所涉及场所的相关环境管理活动</w:t>
            </w:r>
          </w:p>
          <w:p>
            <w:pPr>
              <w:pStyle w:val="22"/>
              <w:rPr>
                <w:lang w:eastAsia="ja-JP"/>
              </w:rPr>
            </w:pPr>
            <w:r>
              <w:t>O：</w:t>
            </w:r>
            <w:r>
              <w:rPr>
                <w:rFonts w:hint="eastAsia" w:eastAsia="宋体"/>
                <w:lang w:eastAsia="zh-CN"/>
              </w:rPr>
              <w:t>河砂的销售</w:t>
            </w:r>
            <w:r>
              <w:t>所涉及场所的相关职业健康安全管理活动</w:t>
            </w:r>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lang w:eastAsia="ja-JP"/>
              </w:rPr>
            </w:pPr>
          </w:p>
        </w:tc>
        <w:tc>
          <w:tcPr>
            <w:tcW w:w="668" w:type="dxa"/>
            <w:shd w:val="clear" w:color="auto" w:fill="FFFFFF"/>
            <w:vAlign w:val="top"/>
          </w:tcPr>
          <w:p>
            <w:pPr>
              <w:rPr>
                <w:rFonts w:eastAsia="黑体"/>
                <w:szCs w:val="21"/>
              </w:rPr>
            </w:pPr>
            <w:r>
              <w:rPr>
                <w:rFonts w:eastAsia="黑体"/>
                <w:szCs w:val="21"/>
              </w:rPr>
              <w:sym w:font="Wingdings 2" w:char="0052"/>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pPr>
              <w:rPr>
                <w:rFonts w:hint="eastAsia" w:eastAsia="宋体"/>
                <w:lang w:eastAsia="zh-CN"/>
              </w:rPr>
            </w:pPr>
            <w:r>
              <w:t>Q:</w:t>
            </w:r>
            <w:r>
              <w:rPr>
                <w:rFonts w:hint="eastAsia"/>
                <w:lang w:eastAsia="zh-CN"/>
              </w:rPr>
              <w:t>29.12.00</w:t>
            </w:r>
          </w:p>
          <w:p>
            <w:pPr>
              <w:rPr>
                <w:rFonts w:hint="eastAsia" w:eastAsia="宋体"/>
                <w:lang w:eastAsia="zh-CN"/>
              </w:rPr>
            </w:pPr>
            <w:r>
              <w:t>E:</w:t>
            </w:r>
            <w:r>
              <w:rPr>
                <w:rFonts w:hint="eastAsia"/>
                <w:lang w:eastAsia="zh-CN"/>
              </w:rPr>
              <w:t>29.12.00</w:t>
            </w:r>
          </w:p>
          <w:p>
            <w:pPr>
              <w:rPr>
                <w:rFonts w:hint="eastAsia" w:eastAsia="宋体"/>
                <w:lang w:eastAsia="zh-CN"/>
              </w:rPr>
            </w:pPr>
            <w:r>
              <w:t>O:</w:t>
            </w:r>
            <w:r>
              <w:rPr>
                <w:rFonts w:hint="eastAsia"/>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上次审核未提出不符合要求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vMerge w:val="restart"/>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p>
        </w:tc>
        <w:tc>
          <w:tcPr>
            <w:tcW w:w="1717" w:type="dxa"/>
          </w:tcPr>
          <w:p/>
        </w:tc>
        <w:tc>
          <w:tcPr>
            <w:tcW w:w="1560" w:type="dxa"/>
            <w:vMerge w:val="continue"/>
          </w:tc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p>
        </w:tc>
        <w:tc>
          <w:tcPr>
            <w:tcW w:w="1717" w:type="dxa"/>
          </w:tcPr>
          <w:p/>
        </w:tc>
        <w:tc>
          <w:tcPr>
            <w:tcW w:w="1560" w:type="dxa"/>
            <w:vMerge w:val="continue"/>
          </w:tcPr>
          <w:p/>
        </w:tc>
        <w:tc>
          <w:tcPr>
            <w:tcW w:w="2965" w:type="dxa"/>
          </w:tcPr>
          <w:p>
            <w:r>
              <w:rPr>
                <w:rFonts w:hint="eastAsia"/>
              </w:rPr>
              <w:sym w:font="Wingdings 2" w:char="00A3"/>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7" w:name="Q勾选Add2"/>
            <w:r>
              <w:rPr>
                <w:rFonts w:hint="eastAsia"/>
              </w:rPr>
              <w:t>■</w:t>
            </w:r>
            <w:bookmarkEnd w:id="1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8" w:name="E勾选Add2"/>
            <w:r>
              <w:rPr>
                <w:rFonts w:hint="eastAsia"/>
              </w:rPr>
              <w:t>■</w:t>
            </w:r>
            <w:bookmarkEnd w:id="1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S勾选Add2"/>
            <w:r>
              <w:rPr>
                <w:rFonts w:hint="eastAsia"/>
              </w:rPr>
              <w:t>■</w:t>
            </w:r>
            <w:bookmarkEnd w:id="1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w:t>
            </w:r>
            <w:bookmarkStart w:id="20" w:name="_GoBack"/>
            <w:bookmarkEnd w:id="20"/>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79375</wp:posOffset>
                  </wp:positionH>
                  <wp:positionV relativeFrom="paragraph">
                    <wp:posOffset>18415</wp:posOffset>
                  </wp:positionV>
                  <wp:extent cx="601345" cy="270510"/>
                  <wp:effectExtent l="0" t="0" r="8255" b="8890"/>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601345" cy="2705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w:t>
            </w:r>
            <w:r>
              <w:rPr>
                <w:rFonts w:hint="eastAsia"/>
                <w:lang w:eastAsia="zh-CN"/>
              </w:rPr>
              <w:t>管理体系方针：全员参与, 点滴做起；过程监控, 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7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tcPr>
                <w:p>
                  <w:pPr>
                    <w:shd w:val="clear" w:color="auto" w:fill="C7DAF1" w:themeFill="text2" w:themeFillTint="32"/>
                  </w:pPr>
                  <w:r>
                    <w:rPr>
                      <w:rFonts w:hint="eastAsia"/>
                    </w:rPr>
                    <w:t>主要的风险或机遇描述</w:t>
                  </w:r>
                </w:p>
              </w:tc>
              <w:tc>
                <w:tcPr>
                  <w:tcW w:w="3724"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tcPr>
                <w:p>
                  <w:pPr>
                    <w:shd w:val="clear" w:color="auto" w:fill="C7DAF1" w:themeFill="text2" w:themeFillTint="32"/>
                  </w:pPr>
                  <w:r>
                    <w:rPr>
                      <w:rFonts w:hint="eastAsia" w:asciiTheme="minorEastAsia" w:hAnsiTheme="minorEastAsia"/>
                      <w:szCs w:val="21"/>
                      <w:shd w:val="clear" w:color="auto" w:fill="FFFFFF"/>
                      <w:lang w:eastAsia="zh-CN"/>
                    </w:rPr>
                    <w:t>河砂资源日益减少、国家对河砂管控加严</w:t>
                  </w:r>
                </w:p>
              </w:tc>
              <w:tc>
                <w:tcPr>
                  <w:tcW w:w="3724" w:type="dxa"/>
                </w:tcPr>
                <w:p>
                  <w:pPr>
                    <w:shd w:val="clear" w:color="auto" w:fill="C7DAF1" w:themeFill="text2" w:themeFillTint="32"/>
                  </w:pPr>
                  <w:r>
                    <w:rPr>
                      <w:rFonts w:hint="eastAsia" w:asciiTheme="minorEastAsia" w:hAnsiTheme="minorEastAsia"/>
                      <w:szCs w:val="21"/>
                    </w:rPr>
                    <w:t>合理调整公司业务范围</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tcPr>
                <w:p>
                  <w:pPr>
                    <w:shd w:val="clear" w:color="auto" w:fill="C7DAF1" w:themeFill="text2" w:themeFillTint="32"/>
                  </w:pPr>
                  <w:r>
                    <w:rPr>
                      <w:rFonts w:hint="eastAsia" w:asciiTheme="minorEastAsia" w:hAnsiTheme="minorEastAsia"/>
                      <w:szCs w:val="21"/>
                      <w:shd w:val="clear" w:color="auto" w:fill="FFFFFF"/>
                      <w:lang w:eastAsia="zh-CN"/>
                    </w:rPr>
                    <w:t>外包商受台风等导致人员伤害等安全导致停产</w:t>
                  </w:r>
                </w:p>
              </w:tc>
              <w:tc>
                <w:tcPr>
                  <w:tcW w:w="3724" w:type="dxa"/>
                </w:tcPr>
                <w:p>
                  <w:pPr>
                    <w:shd w:val="clear" w:color="auto" w:fill="C7DAF1" w:themeFill="text2" w:themeFillTint="32"/>
                  </w:pPr>
                  <w:r>
                    <w:rPr>
                      <w:rFonts w:hint="eastAsia" w:asciiTheme="minorEastAsia" w:hAnsiTheme="minorEastAsia"/>
                      <w:szCs w:val="21"/>
                      <w:lang w:eastAsia="zh-CN"/>
                    </w:rPr>
                    <w:t>开发多个供应商，避免独家供货</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tcPr>
                <w:p>
                  <w:pPr>
                    <w:shd w:val="clear" w:color="auto" w:fill="C7DAF1" w:themeFill="text2" w:themeFillTint="32"/>
                  </w:pPr>
                  <w:r>
                    <w:rPr>
                      <w:rFonts w:hint="eastAsia" w:asciiTheme="minorEastAsia" w:hAnsiTheme="minorEastAsia"/>
                      <w:szCs w:val="21"/>
                      <w:lang w:eastAsia="zh-CN"/>
                    </w:rPr>
                    <w:t>河砂市场受建筑行业市场影响</w:t>
                  </w:r>
                </w:p>
              </w:tc>
              <w:tc>
                <w:tcPr>
                  <w:tcW w:w="3724" w:type="dxa"/>
                </w:tcPr>
                <w:p>
                  <w:pPr>
                    <w:shd w:val="clear" w:color="auto" w:fill="C7DAF1" w:themeFill="text2" w:themeFillTint="32"/>
                    <w:rPr>
                      <w:rFonts w:hint="eastAsia" w:eastAsia="宋体"/>
                      <w:lang w:eastAsia="zh-CN"/>
                    </w:rPr>
                  </w:pPr>
                  <w:r>
                    <w:rPr>
                      <w:rFonts w:hint="eastAsia" w:asciiTheme="minorEastAsia" w:hAnsiTheme="minorEastAsia"/>
                      <w:szCs w:val="21"/>
                    </w:rPr>
                    <w:t>策划广告宣传力度、提高公司产品质量才能够吸引大众的眼光，进而的到更多人的眼球，进而得到更多的消费人群。</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1" w:type="dxa"/>
                </w:tcPr>
                <w:p>
                  <w:pPr>
                    <w:shd w:val="clear" w:color="auto" w:fill="C7DAF1" w:themeFill="text2" w:themeFillTint="32"/>
                  </w:pPr>
                </w:p>
              </w:tc>
              <w:tc>
                <w:tcPr>
                  <w:tcW w:w="3724"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rPr>
                    <w:t>合同履约率100%。</w:t>
                  </w:r>
                </w:p>
              </w:tc>
              <w:tc>
                <w:tcPr>
                  <w:tcW w:w="3136" w:type="dxa"/>
                  <w:shd w:val="clear" w:color="auto" w:fill="auto"/>
                  <w:vAlign w:val="top"/>
                </w:tcPr>
                <w:p>
                  <w:pPr>
                    <w:widowControl/>
                    <w:spacing w:before="40"/>
                    <w:jc w:val="left"/>
                    <w:rPr>
                      <w:lang w:val="en-GB"/>
                    </w:rPr>
                  </w:pPr>
                  <w:r>
                    <w:rPr>
                      <w:rFonts w:hint="eastAsia"/>
                    </w:rPr>
                    <w:t>履约率</w:t>
                  </w:r>
                  <w:r>
                    <w:rPr>
                      <w:rFonts w:hint="eastAsia" w:ascii="Times New Roman" w:hAnsi="Times New Roman" w:eastAsia="宋体" w:cs="Times New Roman"/>
                      <w:color w:val="000000"/>
                      <w:szCs w:val="18"/>
                    </w:rPr>
                    <w:t>＝</w:t>
                  </w:r>
                  <w:r>
                    <w:rPr>
                      <w:rFonts w:hint="eastAsia" w:cs="Times New Roman"/>
                      <w:color w:val="000000"/>
                      <w:szCs w:val="18"/>
                      <w:lang w:val="en-US" w:eastAsia="zh-CN"/>
                    </w:rPr>
                    <w:t>履约合同数</w:t>
                  </w:r>
                  <w:r>
                    <w:rPr>
                      <w:rFonts w:hint="eastAsia" w:ascii="Times New Roman" w:hAnsi="Times New Roman" w:eastAsia="宋体" w:cs="Times New Roman"/>
                      <w:color w:val="000000"/>
                      <w:szCs w:val="18"/>
                    </w:rPr>
                    <w:t>÷</w:t>
                  </w:r>
                  <w:r>
                    <w:rPr>
                      <w:rFonts w:hint="eastAsia" w:cs="Times New Roman"/>
                      <w:color w:val="000000"/>
                      <w:szCs w:val="18"/>
                      <w:lang w:val="en-US" w:eastAsia="zh-CN"/>
                    </w:rPr>
                    <w:t>签订合同总数</w:t>
                  </w:r>
                  <w:r>
                    <w:rPr>
                      <w:rFonts w:hint="eastAsia" w:ascii="Times New Roman" w:hAnsi="Times New Roman" w:eastAsia="宋体" w:cs="Times New Roman"/>
                      <w:color w:val="000000"/>
                      <w:szCs w:val="18"/>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销售部</w:t>
                  </w:r>
                </w:p>
              </w:tc>
              <w:tc>
                <w:tcPr>
                  <w:tcW w:w="1774" w:type="dxa"/>
                  <w:shd w:val="clear" w:color="auto" w:fill="auto"/>
                  <w:vAlign w:val="top"/>
                </w:tcPr>
                <w:p>
                  <w:pPr>
                    <w:widowControl/>
                    <w:spacing w:before="40"/>
                    <w:jc w:val="left"/>
                    <w:rPr>
                      <w:rFonts w:ascii="宋体" w:hAnsi="宋体"/>
                      <w:lang w:val="en-GB"/>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rPr>
                    <w:t>顾客满意度≥96%；</w:t>
                  </w:r>
                </w:p>
              </w:tc>
              <w:tc>
                <w:tcPr>
                  <w:tcW w:w="3136" w:type="dxa"/>
                  <w:shd w:val="clear" w:color="auto" w:fill="auto"/>
                  <w:vAlign w:val="top"/>
                </w:tcPr>
                <w:p>
                  <w:pPr>
                    <w:widowControl/>
                    <w:spacing w:before="40"/>
                    <w:jc w:val="left"/>
                    <w:rPr>
                      <w:rFonts w:ascii="宋体" w:hAnsi="宋体"/>
                    </w:rPr>
                  </w:pPr>
                  <w:r>
                    <w:rPr>
                      <w:rFonts w:hint="eastAsia" w:ascii="Times New Roman" w:hAnsi="Times New Roman" w:eastAsia="宋体" w:cs="Times New Roman"/>
                      <w:color w:val="000000"/>
                      <w:szCs w:val="18"/>
                    </w:rPr>
                    <w:t>满意率＝顾客满意分数总数÷总分数×100%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98</w:t>
                  </w:r>
                  <w:r>
                    <w:rPr>
                      <w:rFonts w:hint="eastAsia" w:ascii="Times New Roman" w:hAnsi="Times New Roman" w:eastAsia="宋体"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lang w:val="en-US" w:eastAsia="zh-CN"/>
              </w:rPr>
              <w:t>电脑、打印机、传真机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地磅</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A3"/>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lang w:eastAsia="zh-CN"/>
              </w:rPr>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rFonts w:hint="eastAsia"/>
                      <w:sz w:val="20"/>
                      <w:lang w:eastAsia="zh-CN"/>
                    </w:rPr>
                    <w:t>河砂的销售</w:t>
                  </w:r>
                </w:p>
              </w:tc>
              <w:tc>
                <w:tcPr>
                  <w:tcW w:w="2678" w:type="dxa"/>
                </w:tcPr>
                <w:p>
                  <w:pPr>
                    <w:shd w:val="clear" w:color="auto" w:fill="C7DAF1" w:themeFill="text2" w:themeFillTint="32"/>
                    <w:jc w:val="left"/>
                    <w:rPr>
                      <w:rFonts w:hint="eastAsia" w:eastAsia="宋体"/>
                      <w:lang w:val="en-US" w:eastAsia="zh-CN"/>
                    </w:rPr>
                  </w:pPr>
                  <w:r>
                    <w:rPr>
                      <w:rFonts w:hint="eastAsia"/>
                      <w:lang w:val="en-US" w:eastAsia="zh-CN"/>
                    </w:rPr>
                    <w:t>销售</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三包</w:t>
            </w:r>
            <w:r>
              <w:rPr>
                <w:rFonts w:hint="eastAsia" w:ascii="Wingdings" w:hAnsi="Wingdings"/>
                <w:lang w:eastAsia="zh-CN"/>
              </w:rPr>
              <w:sym w:font="Wingdings 2" w:char="00A3"/>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建设用砂检测报告，报告编号：CTC202102-03960，检测日期：2021年8月12号，检测结果：符合要求</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年度策划于2021年11月9日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在2021年11月28日对组织的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A3"/>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管理体系方针：遵守法规，绿色建造；预防污染，节能降耗</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w:t>
            </w:r>
            <w:r>
              <w:rPr>
                <w:rFonts w:hint="eastAsia"/>
                <w:lang w:eastAsia="zh-CN"/>
              </w:rPr>
              <w:t>主管部门是——综合管理部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heme="minorEastAsia" w:hAnsiTheme="minorEastAsia"/>
                      <w:szCs w:val="21"/>
                    </w:rPr>
                    <w:t>火灾、水灾、交通以外等不可抗因素，导致人员受伤、交期滞后增加财务成本。</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heme="minorEastAsia" w:hAnsiTheme="minorEastAsia"/>
                      <w:szCs w:val="21"/>
                    </w:rPr>
                    <w:t>编制应急预案</w:t>
                  </w:r>
                </w:p>
              </w:tc>
              <w:tc>
                <w:tcPr>
                  <w:tcW w:w="1717"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heme="minorEastAsia" w:hAnsiTheme="minorEastAsia"/>
                      <w:szCs w:val="21"/>
                    </w:rPr>
                    <w:t>如果违法了，会收到通报批评、罚款。</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heme="minorEastAsia" w:hAnsiTheme="minorEastAsia"/>
                      <w:szCs w:val="21"/>
                    </w:rPr>
                    <w:t>加强法律法规及要求的培训学习。</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p>
              </w:tc>
              <w:tc>
                <w:tcPr>
                  <w:tcW w:w="3226" w:type="dxa"/>
                </w:tcPr>
                <w:p>
                  <w:pPr>
                    <w:shd w:val="clear" w:color="auto" w:fill="EBF1DE" w:themeFill="accent3" w:themeFillTint="32"/>
                    <w:rPr>
                      <w:rFonts w:hint="eastAsia" w:ascii="Times New Roman" w:hAnsi="Times New Roman" w:eastAsia="宋体" w:cs="Times New Roman"/>
                      <w:lang w:eastAsia="zh-CN"/>
                    </w:rPr>
                  </w:pPr>
                </w:p>
              </w:tc>
              <w:tc>
                <w:tcPr>
                  <w:tcW w:w="1717" w:type="dxa"/>
                </w:tcPr>
                <w:p>
                  <w:pPr>
                    <w:shd w:val="clear" w:color="auto" w:fill="EBF1DE" w:themeFill="accent3" w:themeFillTint="32"/>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p>
              </w:tc>
              <w:tc>
                <w:tcPr>
                  <w:tcW w:w="3226" w:type="dxa"/>
                </w:tcPr>
                <w:p>
                  <w:pPr>
                    <w:shd w:val="clear" w:color="auto" w:fill="EBF1DE" w:themeFill="accent3" w:themeFillTint="32"/>
                    <w:rPr>
                      <w:rFonts w:hint="eastAsia" w:ascii="Times New Roman" w:hAnsi="Times New Roman" w:eastAsia="宋体" w:cs="Times New Roman"/>
                    </w:rPr>
                  </w:pPr>
                </w:p>
              </w:tc>
              <w:tc>
                <w:tcPr>
                  <w:tcW w:w="1717" w:type="dxa"/>
                </w:tcPr>
                <w:p>
                  <w:pPr>
                    <w:shd w:val="clear" w:color="auto" w:fill="EBF1DE" w:themeFill="accent3" w:themeFillTint="32"/>
                    <w:rPr>
                      <w:rFonts w:hint="eastAsia" w:ascii="Times New Roman" w:hAnsi="Times New Roman" w:eastAsia="宋体" w:cs="Times New Roman"/>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w:t>
            </w:r>
            <w:r>
              <w:rPr>
                <w:rFonts w:hint="eastAsia"/>
              </w:rPr>
              <w:sym w:font="Wingdings 2" w:char="0052"/>
            </w:r>
            <w:r>
              <w:rPr>
                <w:rFonts w:hint="eastAsia"/>
                <w:lang w:val="en-US" w:eastAsia="zh-CN"/>
              </w:rPr>
              <w:t>固废</w:t>
            </w:r>
            <w:r>
              <w:rPr>
                <w:rFonts w:hint="eastAsia"/>
              </w:rPr>
              <w:t>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r>
                    <w:rPr>
                      <w:rFonts w:hint="eastAsia"/>
                    </w:rPr>
                    <w:t>污染物达标排放；</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分类放置，定期处理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综合管理部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r>
                    <w:rPr>
                      <w:rFonts w:hint="eastAsia"/>
                    </w:rPr>
                    <w:t>火灾、环境污染事故控制为0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统计实际发生次数</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综合管理部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Times New Roman" w:hAnsi="Times New Roman" w:eastAsia="宋体" w:cs="Times New Roman"/>
                      <w:color w:val="000000"/>
                      <w:szCs w:val="18"/>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800</w:t>
            </w:r>
            <w:r>
              <w:rPr>
                <w:rFonts w:hint="eastAsia"/>
              </w:rPr>
              <w:t>平方米；生产车间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个；实验室个；</w:t>
            </w:r>
          </w:p>
          <w:p>
            <w:pPr>
              <w:shd w:val="clear" w:color="auto" w:fill="EBF1DE" w:themeFill="accent3" w:themeFillTint="32"/>
              <w:rPr>
                <w:rFonts w:hint="eastAsia"/>
              </w:rPr>
            </w:pPr>
            <w:r>
              <w:rPr>
                <w:rFonts w:hint="eastAsia"/>
              </w:rPr>
              <w:t>主要生产设备有：</w:t>
            </w:r>
            <w:r>
              <w:rPr>
                <w:rFonts w:hint="eastAsia"/>
                <w:lang w:val="en-US" w:eastAsia="zh-CN"/>
              </w:rPr>
              <w:t>电脑、打印机、传真机</w:t>
            </w:r>
            <w:r>
              <w:rPr>
                <w:rFonts w:hint="eastAsia"/>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垃圾桶、灭火器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eastAsia="宋体"/>
                      <w:lang w:val="en-US" w:eastAsia="zh-CN"/>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分类存放，处置公司及时处置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A3"/>
            </w:r>
            <w:r>
              <w:rPr>
                <w:rFonts w:hint="eastAsia"/>
              </w:rPr>
              <w:t>其他</w:t>
            </w:r>
            <w:r>
              <w:rPr>
                <w:rFonts w:hint="eastAsia"/>
                <w:lang w:val="en-US" w:eastAsia="zh-CN"/>
              </w:rPr>
              <w:t>-三包</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于2021年1</w:t>
            </w:r>
            <w:r>
              <w:rPr>
                <w:rFonts w:hint="eastAsia"/>
                <w:lang w:val="en-US" w:eastAsia="zh-CN"/>
              </w:rPr>
              <w:t>0</w:t>
            </w:r>
            <w:r>
              <w:rPr>
                <w:rFonts w:hint="eastAsia"/>
                <w:lang w:eastAsia="zh-CN"/>
              </w:rPr>
              <w:t>月9日进行了的演练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lang w:eastAsia="zh-CN"/>
              </w:rPr>
              <w:t>定期（每年）：2021年7月26日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年度策划于2021年11月9日</w:t>
            </w:r>
            <w:r>
              <w:rPr>
                <w:rFonts w:hint="eastAsia"/>
              </w:rPr>
              <w:t>实施了环境管理体系内部审核，对环境管理体系的符合性和有效性进行了审核。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lang w:eastAsia="zh-CN"/>
              </w:rPr>
              <w:t>在2021年11月28日对组织的</w:t>
            </w:r>
            <w:r>
              <w:rPr>
                <w:rFonts w:hint="eastAsia"/>
              </w:rPr>
              <w:t>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3"/>
        <w:numPr>
          <w:ilvl w:val="1"/>
          <w:numId w:val="0"/>
        </w:numPr>
        <w:ind w:leftChars="0"/>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管理体系方针：以人为本，安全第一；预防为主，持续改进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w:t>
            </w:r>
            <w:r>
              <w:rPr>
                <w:rFonts w:hint="eastAsia"/>
                <w:lang w:eastAsia="zh-CN"/>
              </w:rPr>
              <w:t>主管部门是——综合管理部</w:t>
            </w:r>
          </w:p>
          <w:p>
            <w:pPr>
              <w:rPr>
                <w:rFonts w:hint="eastAsia" w:eastAsia="宋体"/>
                <w:lang w:eastAsia="zh-CN"/>
              </w:rPr>
            </w:pPr>
            <w:r>
              <w:rPr>
                <w:rFonts w:hint="eastAsia"/>
              </w:rPr>
              <w:t>安全的</w:t>
            </w:r>
            <w:r>
              <w:rPr>
                <w:rFonts w:hint="eastAsia"/>
                <w:lang w:eastAsia="zh-CN"/>
              </w:rPr>
              <w:t>主管部门是——综合管理部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员工代表是——陈少雄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vAlign w:val="top"/>
                </w:tcPr>
                <w:p>
                  <w:pPr>
                    <w:rPr>
                      <w:rFonts w:hint="eastAsia" w:ascii="Times New Roman" w:hAnsi="Times New Roman" w:eastAsia="宋体" w:cs="Times New Roman"/>
                    </w:rPr>
                  </w:pPr>
                  <w:r>
                    <w:rPr>
                      <w:rFonts w:hint="eastAsia" w:ascii="Times New Roman" w:hAnsi="Times New Roman" w:eastAsia="宋体" w:cs="Times New Roman"/>
                    </w:rPr>
                    <w:t>火灾、水灾、交通以外等不可抗因素，导致人员受伤、交期滞后增加财务成本。</w:t>
                  </w:r>
                </w:p>
              </w:tc>
              <w:tc>
                <w:tcPr>
                  <w:tcW w:w="3226" w:type="dxa"/>
                  <w:vAlign w:val="top"/>
                </w:tcPr>
                <w:p>
                  <w:pPr>
                    <w:rPr>
                      <w:rFonts w:hint="eastAsia" w:ascii="Times New Roman" w:hAnsi="Times New Roman" w:eastAsia="宋体" w:cs="Times New Roman"/>
                    </w:rPr>
                  </w:pPr>
                  <w:r>
                    <w:rPr>
                      <w:rFonts w:hint="eastAsia" w:ascii="Times New Roman" w:hAnsi="Times New Roman" w:eastAsia="宋体" w:cs="Times New Roman"/>
                    </w:rPr>
                    <w:t>编制应急预案</w:t>
                  </w:r>
                </w:p>
              </w:tc>
              <w:tc>
                <w:tcPr>
                  <w:tcW w:w="1717"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vAlign w:val="top"/>
                </w:tcPr>
                <w:p>
                  <w:pPr>
                    <w:rPr>
                      <w:rFonts w:hint="eastAsia" w:ascii="Times New Roman" w:hAnsi="Times New Roman" w:eastAsia="宋体" w:cs="Times New Roman"/>
                    </w:rPr>
                  </w:pPr>
                  <w:r>
                    <w:rPr>
                      <w:rFonts w:hint="eastAsia" w:ascii="Times New Roman" w:hAnsi="Times New Roman" w:eastAsia="宋体" w:cs="Times New Roman"/>
                    </w:rPr>
                    <w:t>如果违法了，会收到通报批评、罚款。</w:t>
                  </w:r>
                </w:p>
              </w:tc>
              <w:tc>
                <w:tcPr>
                  <w:tcW w:w="3226" w:type="dxa"/>
                  <w:vAlign w:val="top"/>
                </w:tcPr>
                <w:p>
                  <w:pPr>
                    <w:rPr>
                      <w:rFonts w:hint="eastAsia" w:ascii="Times New Roman" w:hAnsi="Times New Roman" w:eastAsia="宋体" w:cs="Times New Roman"/>
                    </w:rPr>
                  </w:pPr>
                  <w:r>
                    <w:rPr>
                      <w:rFonts w:hint="eastAsia" w:ascii="Times New Roman" w:hAnsi="Times New Roman" w:eastAsia="宋体" w:cs="Times New Roman"/>
                    </w:rPr>
                    <w:t>加强法律法规及要求的培训学习。</w:t>
                  </w:r>
                </w:p>
              </w:tc>
              <w:tc>
                <w:tcPr>
                  <w:tcW w:w="1717" w:type="dxa"/>
                  <w:vAlign w:val="top"/>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p>
              </w:tc>
              <w:tc>
                <w:tcPr>
                  <w:tcW w:w="3226" w:type="dxa"/>
                </w:tcPr>
                <w:p>
                  <w:pPr>
                    <w:rPr>
                      <w:rFonts w:hint="eastAsia" w:ascii="Times New Roman" w:hAnsi="Times New Roman" w:eastAsia="宋体" w:cs="Times New Roman"/>
                      <w:lang w:eastAsia="zh-CN"/>
                    </w:rPr>
                  </w:pPr>
                </w:p>
              </w:tc>
              <w:tc>
                <w:tcPr>
                  <w:tcW w:w="1717" w:type="dxa"/>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p>
              </w:tc>
              <w:tc>
                <w:tcPr>
                  <w:tcW w:w="3226"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重特大对人身安全有影响的责任事故发生率为0</w:t>
                  </w:r>
                  <w:r>
                    <w:rPr>
                      <w:rFonts w:hint="eastAsia"/>
                      <w:lang w:eastAsia="zh-CN"/>
                    </w:rPr>
                    <w:t>；</w:t>
                  </w:r>
                </w:p>
              </w:tc>
              <w:tc>
                <w:tcPr>
                  <w:tcW w:w="3136" w:type="dxa"/>
                  <w:shd w:val="clear" w:color="auto" w:fill="auto"/>
                  <w:vAlign w:val="center"/>
                </w:tcPr>
                <w:p>
                  <w:pPr>
                    <w:rPr>
                      <w:rFonts w:hint="default" w:eastAsia="宋体"/>
                      <w:lang w:val="en-US" w:eastAsia="zh-CN"/>
                    </w:rPr>
                  </w:pPr>
                  <w:r>
                    <w:rPr>
                      <w:rFonts w:hint="eastAsia"/>
                      <w:lang w:val="en-US" w:eastAsia="zh-CN"/>
                    </w:rPr>
                    <w:t>运行控制</w:t>
                  </w:r>
                </w:p>
              </w:tc>
              <w:tc>
                <w:tcPr>
                  <w:tcW w:w="1350" w:type="dxa"/>
                  <w:shd w:val="clear" w:color="auto" w:fill="auto"/>
                  <w:vAlign w:val="center"/>
                </w:tcPr>
                <w:p>
                  <w:pPr>
                    <w:rPr>
                      <w:rFonts w:hint="eastAsia" w:eastAsia="宋体"/>
                      <w:lang w:val="en-US" w:eastAsia="zh-CN"/>
                    </w:rPr>
                  </w:pPr>
                  <w:r>
                    <w:rPr>
                      <w:rFonts w:hint="eastAsia"/>
                      <w:lang w:val="en-US" w:eastAsia="zh-CN"/>
                    </w:rPr>
                    <w:t>综合管理部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91" w:type="dxa"/>
                  <w:shd w:val="clear" w:color="auto" w:fill="auto"/>
                </w:tcPr>
                <w:p>
                  <w:pPr>
                    <w:rPr>
                      <w:rFonts w:hint="default"/>
                      <w:lang w:val="en-US"/>
                    </w:rPr>
                  </w:pPr>
                  <w:r>
                    <w:rPr>
                      <w:rFonts w:hint="default"/>
                      <w:lang w:val="en-US"/>
                    </w:rPr>
                    <w:t>无死亡重伤事故，轻伤事故2‰以下</w:t>
                  </w:r>
                  <w:r>
                    <w:rPr>
                      <w:rFonts w:hint="default"/>
                      <w:lang w:val="en-US" w:eastAsia="zh-CN"/>
                    </w:rPr>
                    <w:t>。</w:t>
                  </w:r>
                </w:p>
              </w:tc>
              <w:tc>
                <w:tcPr>
                  <w:tcW w:w="3136" w:type="dxa"/>
                  <w:shd w:val="clear" w:color="auto" w:fill="auto"/>
                  <w:vAlign w:val="center"/>
                </w:tcPr>
                <w:p>
                  <w:pPr>
                    <w:rPr>
                      <w:rFonts w:ascii="宋体" w:hAnsi="宋体"/>
                    </w:rPr>
                  </w:pPr>
                  <w:r>
                    <w:rPr>
                      <w:rFonts w:hint="eastAsia"/>
                      <w:lang w:val="en-US" w:eastAsia="zh-CN"/>
                    </w:rPr>
                    <w:t>运行控制</w:t>
                  </w:r>
                </w:p>
              </w:tc>
              <w:tc>
                <w:tcPr>
                  <w:tcW w:w="1350" w:type="dxa"/>
                  <w:shd w:val="clear" w:color="auto" w:fill="auto"/>
                  <w:vAlign w:val="center"/>
                </w:tcPr>
                <w:p>
                  <w:pPr>
                    <w:rPr>
                      <w:rFonts w:ascii="宋体" w:hAnsi="宋体"/>
                    </w:rPr>
                  </w:pPr>
                  <w:r>
                    <w:rPr>
                      <w:rFonts w:hint="eastAsia"/>
                      <w:lang w:val="en-US" w:eastAsia="zh-CN"/>
                    </w:rPr>
                    <w:t>综合管理部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800</w:t>
            </w:r>
            <w:r>
              <w:rPr>
                <w:rFonts w:hint="eastAsia"/>
              </w:rPr>
              <w:t>平方米；生产车间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个；实验室个；</w:t>
            </w:r>
          </w:p>
          <w:p>
            <w:pPr>
              <w:rPr>
                <w:rFonts w:hint="eastAsia"/>
              </w:rPr>
            </w:pPr>
            <w:r>
              <w:rPr>
                <w:rFonts w:hint="eastAsia"/>
              </w:rPr>
              <w:t>主要生产设备有：</w:t>
            </w:r>
            <w:r>
              <w:rPr>
                <w:rFonts w:hint="eastAsia"/>
                <w:lang w:val="en-US" w:eastAsia="zh-CN"/>
              </w:rPr>
              <w:t>电脑、打印机、传真机</w:t>
            </w:r>
            <w:r>
              <w:rPr>
                <w:rFonts w:hint="eastAsia"/>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lang w:val="en-US" w:eastAsia="zh-CN"/>
                    </w:rPr>
                    <w:t>消防管控</w:t>
                  </w:r>
                  <w:r>
                    <w:rPr>
                      <w:rFonts w:hint="eastAsia"/>
                    </w:rPr>
                    <w:sym w:font="Wingdings 2" w:char="0052"/>
                  </w:r>
                  <w:r>
                    <w:rPr>
                      <w:rFonts w:hint="eastAsia"/>
                      <w:lang w:val="en-US" w:eastAsia="zh-CN"/>
                    </w:rPr>
                    <w:t>应急演练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于2021年</w:t>
            </w:r>
            <w:r>
              <w:rPr>
                <w:rFonts w:hint="eastAsia"/>
                <w:lang w:val="en-US" w:eastAsia="zh-CN"/>
              </w:rPr>
              <w:t>10</w:t>
            </w:r>
            <w:r>
              <w:rPr>
                <w:rFonts w:hint="eastAsia"/>
                <w:lang w:eastAsia="zh-CN"/>
              </w:rPr>
              <w:t>月9日进行了的演练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sym w:font="Wingdings 2" w:char="0052"/>
            </w:r>
            <w:r>
              <w:rPr>
                <w:rFonts w:hint="eastAsia"/>
                <w:lang w:eastAsia="zh-CN"/>
              </w:rPr>
              <w:t>定期（每年）：2021年7月26日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年度策划于2021年11月9日</w:t>
            </w:r>
            <w:r>
              <w:rPr>
                <w:rFonts w:hint="eastAsia"/>
              </w:rPr>
              <w:t>实施了职业健康安全管理体系内部审核，对职业健康安全管理体系的符合性和有效性进行了审核。</w:t>
            </w:r>
            <w:r>
              <w:rPr>
                <w:rFonts w:hint="eastAsia"/>
                <w:lang w:eastAsia="zh-CN"/>
              </w:rPr>
              <w:t>内审发现的1项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在2021年11月28日对组织的</w:t>
            </w:r>
            <w:r>
              <w:rPr>
                <w:rFonts w:hint="eastAsia"/>
              </w:rPr>
              <w:t>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3250E94"/>
    <w:rsid w:val="2C590080"/>
    <w:rsid w:val="34777285"/>
    <w:rsid w:val="53BE5AE1"/>
    <w:rsid w:val="64B81251"/>
    <w:rsid w:val="71A76CB8"/>
    <w:rsid w:val="76FB4FCD"/>
    <w:rsid w:val="7BA76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line="312" w:lineRule="auto"/>
    </w:pPr>
    <w:rPr>
      <w:rFonts w:ascii="Arial" w:hAnsi="Arial" w:eastAsia="楷体_GB2312"/>
      <w:spacing w:val="20"/>
      <w:sz w:val="24"/>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2022-01-18T09:56:21Z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