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374"/>
        <w:gridCol w:w="320"/>
        <w:gridCol w:w="998"/>
        <w:gridCol w:w="19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9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重庆东电科技有限公司</w:t>
            </w:r>
            <w:bookmarkEnd w:id="7"/>
          </w:p>
        </w:tc>
        <w:tc>
          <w:tcPr>
            <w:tcW w:w="13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仪表设备的研发流程图：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立项与策划——需求分析——设计开发——样品制作——验证——确认。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设计开发为关键过程。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研发设计风险：设计产品与客户要求不符合；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服务过程风险：产品交付和维护不及时，被客户拒收或退回；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风险控制：产品设计人员、维护培训、优化设计流程，完善产品使用手册和客户使用人员培训、指导等。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  <w:t>火灾，中暑伤害采取制定管理方案控制，潜在火灾采取应急预案并演练方式进行控制。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0"/>
                <w:kern w:val="0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  <w:t>中华人民共和国合同法、中华人民共和国劳动法、中华人民共和国安全消防法、中华人民共和国劳动合同法、中华人民共和国产品质量法、中华人民共和国安全生产法、中华人民共和国消费者权益保护法等。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u w:val="singl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111760</wp:posOffset>
                  </wp:positionV>
                  <wp:extent cx="322580" cy="346075"/>
                  <wp:effectExtent l="0" t="0" r="7620" b="952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2021年12月23日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u w:val="singl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198755</wp:posOffset>
                  </wp:positionV>
                  <wp:extent cx="322580" cy="346075"/>
                  <wp:effectExtent l="0" t="0" r="7620" b="9525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2021年12月23日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F06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2021-12-20T08:07:42Z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