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rPr>
          <w:b/>
          <w:bCs/>
          <w:color w:val="000000" w:themeColor="text1"/>
          <w:sz w:val="21"/>
          <w:szCs w:val="21"/>
          <w:u w:val="single"/>
        </w:rPr>
      </w:pPr>
      <w:bookmarkStart w:id="15" w:name="_GoBack"/>
      <w:r>
        <w:rPr>
          <w:rFonts w:hint="eastAsia"/>
          <w:b/>
          <w:color w:val="000000" w:themeColor="text1"/>
          <w:sz w:val="21"/>
          <w:szCs w:val="21"/>
        </w:rPr>
        <w:drawing>
          <wp:inline distT="0" distB="0" distL="114300" distR="114300">
            <wp:extent cx="6186170" cy="8817610"/>
            <wp:effectExtent l="0" t="0" r="1270" b="6350"/>
            <wp:docPr id="2" name="图片 2" descr="扫描全能王 2021-12-25 14.35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2-25 14.35_9"/>
                    <pic:cNvPicPr>
                      <a:picLocks noChangeAspect="1"/>
                    </pic:cNvPicPr>
                  </pic:nvPicPr>
                  <pic:blipFill>
                    <a:blip r:embed="rId5"/>
                    <a:stretch>
                      <a:fillRect/>
                    </a:stretch>
                  </pic:blipFill>
                  <pic:spPr>
                    <a:xfrm>
                      <a:off x="0" y="0"/>
                      <a:ext cx="6186170" cy="8817610"/>
                    </a:xfrm>
                    <a:prstGeom prst="rect">
                      <a:avLst/>
                    </a:prstGeom>
                  </pic:spPr>
                </pic:pic>
              </a:graphicData>
            </a:graphic>
          </wp:inline>
        </w:drawing>
      </w:r>
      <w:bookmarkEnd w:id="15"/>
      <w:r>
        <w:rPr>
          <w:rFonts w:hint="eastAsia"/>
          <w:b/>
          <w:color w:val="000000" w:themeColor="text1"/>
          <w:sz w:val="21"/>
          <w:szCs w:val="21"/>
        </w:rPr>
        <w:t>合同编号:</w:t>
      </w:r>
      <w:bookmarkStart w:id="0" w:name="合同编号"/>
      <w:r>
        <w:rPr>
          <w:b/>
          <w:bCs/>
          <w:color w:val="000000" w:themeColor="text1"/>
          <w:sz w:val="21"/>
          <w:szCs w:val="21"/>
          <w:u w:val="single"/>
        </w:rPr>
        <w:t>1324-2021-Q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天津金德莱精密机械有限公司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91120222MA07DNJH7Y</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天津金德莱精密机械有限公司</w:t>
            </w:r>
            <w:bookmarkEnd w:id="11"/>
          </w:p>
        </w:tc>
        <w:tc>
          <w:tcPr>
            <w:tcW w:w="5013" w:type="dxa"/>
            <w:gridSpan w:val="3"/>
            <w:vMerge w:val="restart"/>
          </w:tcPr>
          <w:p>
            <w:pPr>
              <w:snapToGrid w:val="0"/>
              <w:spacing w:line="0" w:lineRule="atLeast"/>
              <w:jc w:val="left"/>
              <w:rPr>
                <w:sz w:val="22"/>
                <w:szCs w:val="22"/>
              </w:rPr>
            </w:pPr>
            <w:bookmarkStart w:id="12" w:name="审核范围"/>
            <w:r>
              <w:rPr>
                <w:sz w:val="22"/>
                <w:szCs w:val="22"/>
              </w:rPr>
              <w:t>喷涂加工</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天津市武清区梅厂镇福源经济区发源路6号</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天津市东丽区华明镇弘泰道12号国家电网平高集团院内</w:t>
            </w:r>
            <w:bookmarkEnd w:id="14"/>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Tianjin jindelai Precision Machinery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Spraying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6, Fuyuan Economic Zone, Meichang Town, Wuqing District, Tianjin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Pinggao group yard of State Grid, No. 12 Hongtai Road, Huaming Town, Dongli District, Tianjin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0A5BBE"/>
    <w:rsid w:val="1AC025F3"/>
    <w:rsid w:val="23694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77</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2022-01-03T23:15:53Z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