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0591-2019-Q-2021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重庆惠云机械有限公司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重庆惠云机械有限公司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重庆市北碚区童家溪镇建设村松林社</w:t>
            </w:r>
            <w:bookmarkEnd w:id="6"/>
          </w:p>
        </w:tc>
        <w:tc>
          <w:tcPr>
            <w:tcW w:w="1242" w:type="dxa"/>
            <w:vMerge w:val="restart"/>
            <w:vAlign w:val="center"/>
          </w:tcPr>
          <w:p>
            <w:r>
              <w:rPr>
                <w:rFonts w:hint="eastAsia"/>
              </w:rPr>
              <w:t>邮编</w:t>
            </w:r>
          </w:p>
        </w:tc>
        <w:tc>
          <w:tcPr>
            <w:tcW w:w="1771" w:type="dxa"/>
          </w:tcPr>
          <w:p>
            <w:bookmarkStart w:id="7" w:name="注册邮编"/>
            <w:r>
              <w:t>400709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重庆市北碚区童家溪镇建设村松林社</w:t>
            </w:r>
            <w:bookmarkEnd w:id="8"/>
          </w:p>
        </w:tc>
        <w:tc>
          <w:tcPr>
            <w:tcW w:w="1242" w:type="dxa"/>
            <w:vMerge w:val="continue"/>
            <w:vAlign w:val="center"/>
          </w:tcPr>
          <w:p/>
        </w:tc>
        <w:tc>
          <w:tcPr>
            <w:tcW w:w="1771" w:type="dxa"/>
          </w:tcPr>
          <w:p>
            <w:bookmarkStart w:id="9" w:name="办公邮编"/>
            <w:r>
              <w:t>400709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赵林</w:t>
            </w:r>
            <w:bookmarkEnd w:id="10"/>
          </w:p>
        </w:tc>
        <w:tc>
          <w:tcPr>
            <w:tcW w:w="1313" w:type="dxa"/>
            <w:vAlign w:val="center"/>
          </w:tcPr>
          <w:p>
            <w:r>
              <w:rPr>
                <w:rFonts w:hint="eastAsia"/>
              </w:rPr>
              <w:t>电话.</w:t>
            </w:r>
          </w:p>
        </w:tc>
        <w:tc>
          <w:tcPr>
            <w:tcW w:w="2180" w:type="dxa"/>
            <w:vAlign w:val="center"/>
          </w:tcPr>
          <w:p>
            <w:bookmarkStart w:id="11" w:name="联系人电话"/>
            <w:r>
              <w:t>13883077220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赵良云</w:t>
            </w:r>
            <w:bookmarkEnd w:id="13"/>
          </w:p>
        </w:tc>
        <w:tc>
          <w:tcPr>
            <w:tcW w:w="1313" w:type="dxa"/>
            <w:vAlign w:val="center"/>
          </w:tcPr>
          <w:p>
            <w:r>
              <w:rPr>
                <w:rFonts w:hint="eastAsia"/>
              </w:rPr>
              <w:t>管理者代表</w:t>
            </w:r>
          </w:p>
        </w:tc>
        <w:tc>
          <w:tcPr>
            <w:tcW w:w="2180" w:type="dxa"/>
          </w:tcPr>
          <w:p>
            <w:bookmarkStart w:id="14" w:name="管理者代表"/>
            <w:r>
              <w:t>赵林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ascii="宋体" w:hAnsi="宋体" w:cs="宋体"/>
                <w:color w:val="000000"/>
                <w:kern w:val="0"/>
                <w:szCs w:val="21"/>
              </w:rPr>
            </w:pPr>
            <w:r>
              <w:rPr>
                <w:rFonts w:ascii="宋体" w:hAnsi="宋体" w:cs="宋体"/>
                <w:color w:val="000000"/>
                <w:kern w:val="0"/>
                <w:szCs w:val="21"/>
              </w:rPr>
              <w:t>冲压件的加工</w:t>
            </w:r>
          </w:p>
          <w:p>
            <w:r>
              <w:rPr>
                <w:rFonts w:hint="eastAsia" w:ascii="宋体" w:hAnsi="宋体"/>
                <w:szCs w:val="21"/>
              </w:rPr>
              <w:t>来料——入厂检验——机械加工（下料、冲压成型、</w:t>
            </w:r>
            <w:r>
              <w:rPr>
                <w:rFonts w:hint="eastAsia" w:ascii="宋体" w:hAnsi="宋体"/>
                <w:szCs w:val="21"/>
                <w:lang w:eastAsia="zh-CN"/>
              </w:rPr>
              <w:t>打孔、</w:t>
            </w:r>
            <w:r>
              <w:rPr>
                <w:rFonts w:hint="eastAsia" w:ascii="宋体" w:hAnsi="宋体"/>
                <w:szCs w:val="21"/>
              </w:rPr>
              <w:t>去毛刺）——检验——入库及交付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2021年12月23日 上午至2021年12月23日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冲压件的加工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17.09.00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rPr>
            </w:pPr>
            <w:r>
              <w:rPr>
                <w:rFonts w:hint="eastAsia"/>
              </w:rPr>
              <w:t>体系文件实施时间</w:t>
            </w:r>
          </w:p>
        </w:tc>
        <w:tc>
          <w:tcPr>
            <w:tcW w:w="2733" w:type="dxa"/>
          </w:tcPr>
          <w:p>
            <w:pPr>
              <w:rPr>
                <w:rFonts w:hint="eastAsia"/>
              </w:rPr>
            </w:pPr>
            <w:r>
              <w:rPr>
                <w:rFonts w:hint="eastAsia"/>
                <w:lang w:eastAsia="zh-CN"/>
              </w:rPr>
              <w:t>2018</w:t>
            </w:r>
            <w:r>
              <w:rPr>
                <w:rFonts w:hint="eastAsia"/>
              </w:rPr>
              <w:t>年</w:t>
            </w:r>
            <w:r>
              <w:rPr>
                <w:rFonts w:hint="eastAsia"/>
                <w:lang w:eastAsia="zh-CN"/>
              </w:rPr>
              <w:t>1</w:t>
            </w:r>
            <w:r>
              <w:rPr>
                <w:rFonts w:hint="eastAsia"/>
              </w:rPr>
              <w:t>月</w:t>
            </w:r>
            <w:r>
              <w:rPr>
                <w:rFonts w:hint="eastAsia"/>
                <w:lang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val="en-US" w:eastAsia="zh-CN"/>
              </w:rPr>
            </w:pPr>
            <w:r>
              <w:rPr>
                <w:color w:val="000000"/>
                <w:szCs w:val="21"/>
              </w:rPr>
              <w:t xml:space="preserve"> </w:t>
            </w:r>
            <w:r>
              <w:rPr>
                <w:rFonts w:hint="eastAsia"/>
                <w:color w:val="000000"/>
                <w:szCs w:val="21"/>
              </w:rPr>
              <w:t>2021年01月18日</w:t>
            </w:r>
            <w:r>
              <w:rPr>
                <w:rFonts w:hint="eastAsia"/>
                <w:color w:val="000000"/>
                <w:szCs w:val="21"/>
                <w:lang w:val="en-US" w:eastAsia="zh-CN"/>
              </w:rPr>
              <w:t>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2022.12.08</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79"/>
        <w:gridCol w:w="119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79" w:type="dxa"/>
            <w:shd w:val="clear" w:color="auto" w:fill="F3F3F3"/>
            <w:tcMar>
              <w:left w:w="57" w:type="dxa"/>
              <w:right w:w="57" w:type="dxa"/>
            </w:tcMar>
          </w:tcPr>
          <w:p>
            <w:r>
              <w:rPr>
                <w:rFonts w:hint="eastAsia"/>
              </w:rPr>
              <w:t>审核范围（产品和过程）</w:t>
            </w:r>
          </w:p>
          <w:p/>
          <w:p/>
        </w:tc>
        <w:tc>
          <w:tcPr>
            <w:tcW w:w="119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重庆惠云机械有限公司</w:t>
            </w:r>
            <w:r>
              <w:rPr>
                <w:rFonts w:hint="eastAsia" w:ascii="宋体" w:hAnsi="宋体" w:cs="宋体"/>
                <w:color w:val="000000"/>
                <w:kern w:val="0"/>
                <w:szCs w:val="21"/>
                <w:lang w:val="en-US" w:eastAsia="zh-CN"/>
              </w:rPr>
              <w:t>/</w:t>
            </w:r>
            <w:r>
              <w:rPr>
                <w:rFonts w:ascii="宋体" w:hAnsi="宋体" w:cs="宋体"/>
                <w:color w:val="000000"/>
                <w:kern w:val="0"/>
                <w:szCs w:val="21"/>
              </w:rPr>
              <w:t>重庆市北碚区童家溪镇建设村松林社</w:t>
            </w:r>
          </w:p>
        </w:tc>
        <w:tc>
          <w:tcPr>
            <w:tcW w:w="2267" w:type="dxa"/>
          </w:tcPr>
          <w:p>
            <w:pPr>
              <w:rPr>
                <w:lang w:val="de-DE" w:eastAsia="ja-JP"/>
              </w:rPr>
            </w:pPr>
            <w:r>
              <w:rPr>
                <w:rFonts w:ascii="宋体" w:hAnsi="宋体" w:cs="宋体"/>
                <w:color w:val="000000"/>
                <w:kern w:val="0"/>
                <w:szCs w:val="21"/>
              </w:rPr>
              <w:t>重庆市北碚区童家溪镇建设村松林社</w:t>
            </w:r>
          </w:p>
        </w:tc>
        <w:tc>
          <w:tcPr>
            <w:tcW w:w="571" w:type="dxa"/>
            <w:vAlign w:val="center"/>
          </w:tcPr>
          <w:p>
            <w:pPr>
              <w:rPr>
                <w:rFonts w:hint="default" w:eastAsia="宋体"/>
                <w:lang w:val="en-US" w:eastAsia="zh-CN"/>
              </w:rPr>
            </w:pPr>
            <w:r>
              <w:rPr>
                <w:rFonts w:hint="eastAsia"/>
                <w:lang w:val="en-US" w:eastAsia="zh-CN"/>
              </w:rPr>
              <w:t>45</w:t>
            </w:r>
          </w:p>
        </w:tc>
        <w:tc>
          <w:tcPr>
            <w:tcW w:w="2279" w:type="dxa"/>
            <w:vAlign w:val="center"/>
          </w:tcPr>
          <w:p>
            <w:pPr>
              <w:rPr>
                <w:lang w:eastAsia="ja-JP"/>
              </w:rPr>
            </w:pPr>
            <w:r>
              <w:rPr>
                <w:rFonts w:ascii="宋体" w:hAnsi="宋体" w:cs="宋体"/>
                <w:color w:val="000000"/>
                <w:kern w:val="0"/>
                <w:szCs w:val="21"/>
              </w:rPr>
              <w:t>冲压件的加工</w:t>
            </w:r>
          </w:p>
        </w:tc>
        <w:tc>
          <w:tcPr>
            <w:tcW w:w="1193"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9" w:type="dxa"/>
            <w:vAlign w:val="center"/>
          </w:tcPr>
          <w:p>
            <w:pPr>
              <w:rPr>
                <w:lang w:eastAsia="ja-JP"/>
              </w:rPr>
            </w:pPr>
          </w:p>
        </w:tc>
        <w:tc>
          <w:tcPr>
            <w:tcW w:w="119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9" w:type="dxa"/>
            <w:vAlign w:val="center"/>
          </w:tcPr>
          <w:p>
            <w:pPr>
              <w:rPr>
                <w:lang w:eastAsia="ja-JP"/>
              </w:rPr>
            </w:pPr>
          </w:p>
        </w:tc>
        <w:tc>
          <w:tcPr>
            <w:tcW w:w="119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9" w:type="dxa"/>
            <w:vAlign w:val="center"/>
          </w:tcPr>
          <w:p>
            <w:pPr>
              <w:rPr>
                <w:lang w:eastAsia="ja-JP"/>
              </w:rPr>
            </w:pPr>
          </w:p>
        </w:tc>
        <w:tc>
          <w:tcPr>
            <w:tcW w:w="119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9" w:type="dxa"/>
            <w:vAlign w:val="center"/>
          </w:tcPr>
          <w:p>
            <w:pPr>
              <w:rPr>
                <w:lang w:eastAsia="ja-JP"/>
              </w:rPr>
            </w:pPr>
          </w:p>
        </w:tc>
        <w:tc>
          <w:tcPr>
            <w:tcW w:w="119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eastAsia="zh-CN"/>
              </w:rPr>
              <w:t>原人数</w:t>
            </w:r>
            <w:r>
              <w:rPr>
                <w:rFonts w:hint="eastAsia"/>
                <w:lang w:val="en-US" w:eastAsia="zh-CN"/>
              </w:rPr>
              <w:t>25人，现变更为45人。（详见认证信息变更传递单）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 w:val="21"/>
                <w:szCs w:val="21"/>
                <w:lang w:eastAsia="zh-CN"/>
              </w:rPr>
              <w:t>上次不符合发生在生产部</w:t>
            </w:r>
            <w:r>
              <w:rPr>
                <w:rFonts w:hint="eastAsia" w:ascii="宋体" w:hAnsi="宋体" w:cs="宋体"/>
                <w:color w:val="000000" w:themeColor="text1"/>
                <w:sz w:val="21"/>
                <w:szCs w:val="21"/>
                <w:lang w:val="en-US" w:eastAsia="zh-CN"/>
              </w:rPr>
              <w:t>8.5.2条款，经本次现场验证，未再发生类似不符合情况，经验证整改有效。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w:t>
            </w:r>
            <w:r>
              <w:rPr>
                <w:rFonts w:hint="eastAsia"/>
                <w:lang w:eastAsia="zh-CN"/>
              </w:rPr>
              <w:t>标书</w:t>
            </w:r>
            <w:r>
              <w:rPr>
                <w:rFonts w:hint="eastAsia"/>
              </w:rPr>
              <w:t>）</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highlight w:val="none"/>
              </w:rPr>
              <w:drawing>
                <wp:anchor distT="0" distB="0" distL="114300" distR="114300" simplePos="0" relativeHeight="251662336" behindDoc="0" locked="0" layoutInCell="1" allowOverlap="1">
                  <wp:simplePos x="0" y="0"/>
                  <wp:positionH relativeFrom="column">
                    <wp:posOffset>116840</wp:posOffset>
                  </wp:positionH>
                  <wp:positionV relativeFrom="paragraph">
                    <wp:posOffset>31115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2021年12月23日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lang w:eastAsia="zh-CN"/>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b w:val="0"/>
                <w:bCs w:val="0"/>
                <w:color w:val="000000" w:themeColor="text1"/>
                <w:sz w:val="21"/>
                <w:szCs w:val="21"/>
                <w:lang w:eastAsia="zh-CN"/>
                <w14:textFill>
                  <w14:solidFill>
                    <w14:schemeClr w14:val="tx1"/>
                  </w14:solidFill>
                </w14:textFill>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GB" w:eastAsia="zh-CN"/>
              </w:rPr>
              <w:t>：</w:t>
            </w:r>
            <w:r>
              <w:rPr>
                <w:rFonts w:hint="eastAsia"/>
                <w:b w:val="0"/>
                <w:bCs w:val="0"/>
                <w:color w:val="000000" w:themeColor="text1"/>
                <w:lang w:val="en-GB" w:eastAsia="zh-CN"/>
                <w14:textFill>
                  <w14:solidFill>
                    <w14:schemeClr w14:val="tx1"/>
                  </w14:solidFill>
                </w14:textFill>
              </w:rPr>
              <w:t>表面处理（喷漆）</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pacing w:line="360" w:lineRule="auto"/>
              <w:rPr>
                <w:b/>
                <w:bCs/>
                <w:u w:val="single"/>
              </w:rPr>
            </w:pPr>
            <w:r>
              <w:rPr>
                <w:rFonts w:hint="eastAsia" w:ascii="Times New Roman" w:hAnsi="Times New Roman" w:eastAsia="宋体" w:cs="Times New Roman"/>
                <w:b/>
                <w:bCs/>
              </w:rPr>
              <w:t>质量为本、信誉至上，持续改进，争创一流，满足要求</w:t>
            </w:r>
            <w:r>
              <w:rPr>
                <w:rFonts w:hint="eastAsia" w:ascii="Times New Roman" w:hAnsi="Times New Roman" w:eastAsia="宋体" w:cs="Times New Roman"/>
                <w:b/>
                <w:bCs/>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b/>
                <w:bCs/>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21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1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213"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911" w:type="dxa"/>
                  <w:shd w:val="clear" w:color="auto" w:fill="auto"/>
                </w:tcPr>
                <w:p>
                  <w:pPr>
                    <w:shd w:val="clear" w:color="auto" w:fill="C7DAF1" w:themeFill="text2" w:themeFillTint="32"/>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2021年1-11月</w:t>
                  </w:r>
                  <w:r>
                    <w:rPr>
                      <w:rFonts w:hint="eastAsia" w:ascii="宋体" w:hAnsi="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szCs w:val="21"/>
                    </w:rPr>
                    <w:t>产品交验一次合格率98%；</w:t>
                  </w:r>
                </w:p>
              </w:tc>
              <w:tc>
                <w:tcPr>
                  <w:tcW w:w="2120" w:type="dxa"/>
                  <w:shd w:val="clear" w:color="auto" w:fill="auto"/>
                  <w:vAlign w:val="center"/>
                </w:tcPr>
                <w:p>
                  <w:pPr>
                    <w:shd w:val="clear" w:color="auto" w:fill="C7DAF1" w:themeFill="text2" w:themeFillTint="32"/>
                    <w:rPr>
                      <w:color w:val="000000" w:themeColor="text1"/>
                      <w:lang w:val="en-GB"/>
                    </w:rPr>
                  </w:pPr>
                  <w:r>
                    <w:rPr>
                      <w:rFonts w:hint="eastAsia" w:ascii="宋体" w:hAnsi="宋体" w:cs="宋体"/>
                      <w:color w:val="000000" w:themeColor="text1"/>
                      <w:kern w:val="0"/>
                    </w:rPr>
                    <w:t>合格率=</w:t>
                  </w:r>
                  <w:r>
                    <w:rPr>
                      <w:rFonts w:hint="eastAsia" w:ascii="宋体" w:hAnsi="宋体" w:cs="宋体"/>
                      <w:color w:val="000000" w:themeColor="text1"/>
                      <w:kern w:val="0"/>
                      <w:lang w:eastAsia="zh-CN"/>
                    </w:rPr>
                    <w:t>一次检验</w:t>
                  </w:r>
                  <w:r>
                    <w:rPr>
                      <w:rFonts w:hint="eastAsia" w:ascii="宋体" w:hAnsi="宋体" w:cs="宋体"/>
                      <w:color w:val="000000" w:themeColor="text1"/>
                      <w:kern w:val="0"/>
                    </w:rPr>
                    <w:t>合格量÷检验总数量×100%；</w:t>
                  </w:r>
                </w:p>
              </w:tc>
              <w:tc>
                <w:tcPr>
                  <w:tcW w:w="1213" w:type="dxa"/>
                  <w:shd w:val="clear" w:color="auto" w:fill="auto"/>
                  <w:vAlign w:val="center"/>
                </w:tcPr>
                <w:p>
                  <w:pPr>
                    <w:shd w:val="clear" w:color="auto" w:fill="C7DAF1" w:themeFill="text2" w:themeFillTint="32"/>
                    <w:rPr>
                      <w:rFonts w:hint="eastAsia" w:eastAsia="宋体"/>
                      <w:color w:val="000000" w:themeColor="text1"/>
                      <w:lang w:val="en-GB" w:eastAsia="zh-CN"/>
                    </w:rPr>
                  </w:pPr>
                  <w:r>
                    <w:rPr>
                      <w:rFonts w:hint="eastAsia" w:ascii="宋体" w:hAnsi="宋体" w:cs="新宋体"/>
                      <w:sz w:val="21"/>
                      <w:szCs w:val="21"/>
                      <w:lang w:eastAsia="zh-CN"/>
                    </w:rPr>
                    <w:t>技质部</w:t>
                  </w:r>
                </w:p>
              </w:tc>
              <w:tc>
                <w:tcPr>
                  <w:tcW w:w="191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widowControl/>
                    <w:spacing w:line="400" w:lineRule="exact"/>
                    <w:rPr>
                      <w:color w:val="000000" w:themeColor="text1"/>
                    </w:rPr>
                  </w:pPr>
                  <w:r>
                    <w:rPr>
                      <w:rFonts w:hint="eastAsia" w:ascii="宋体" w:hAnsi="宋体"/>
                      <w:szCs w:val="21"/>
                    </w:rPr>
                    <w:t>交货期满意率90%</w:t>
                  </w:r>
                </w:p>
              </w:tc>
              <w:tc>
                <w:tcPr>
                  <w:tcW w:w="21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auto"/>
                      <w:szCs w:val="24"/>
                      <w:lang w:eastAsia="zh-CN"/>
                    </w:rPr>
                    <w:t>产品按期</w:t>
                  </w:r>
                  <w:r>
                    <w:rPr>
                      <w:rFonts w:hint="eastAsia" w:ascii="宋体" w:hAnsi="宋体" w:eastAsia="宋体" w:cs="宋体"/>
                      <w:color w:val="auto"/>
                      <w:szCs w:val="24"/>
                      <w:lang w:eastAsia="zh-CN"/>
                    </w:rPr>
                    <w:t>交付数</w:t>
                  </w:r>
                  <w:r>
                    <w:rPr>
                      <w:rFonts w:hint="eastAsia" w:ascii="宋体" w:hAnsi="宋体" w:eastAsia="宋体" w:cs="宋体"/>
                      <w:color w:val="auto"/>
                      <w:szCs w:val="24"/>
                      <w:lang w:val="en-US" w:eastAsia="zh-CN"/>
                    </w:rPr>
                    <w:t>/合同签订产品数*100%</w:t>
                  </w:r>
                </w:p>
              </w:tc>
              <w:tc>
                <w:tcPr>
                  <w:tcW w:w="1213"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color w:val="000000" w:themeColor="text1"/>
                      <w:sz w:val="24"/>
                      <w:szCs w:val="24"/>
                      <w:lang w:eastAsia="zh-CN"/>
                    </w:rPr>
                    <w:t>供销部</w:t>
                  </w:r>
                </w:p>
              </w:tc>
              <w:tc>
                <w:tcPr>
                  <w:tcW w:w="191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7" w:type="dxa"/>
                  <w:shd w:val="clear" w:color="auto" w:fill="auto"/>
                </w:tcPr>
                <w:p>
                  <w:pPr>
                    <w:shd w:val="clear" w:color="auto" w:fill="C7DAF1" w:themeFill="text2" w:themeFillTint="32"/>
                    <w:rPr>
                      <w:color w:val="000000" w:themeColor="text1"/>
                    </w:rPr>
                  </w:pPr>
                  <w:r>
                    <w:rPr>
                      <w:rFonts w:hint="eastAsia" w:ascii="宋体" w:hAnsi="宋体"/>
                      <w:szCs w:val="21"/>
                    </w:rPr>
                    <w:t>相关方满意率95%以上</w:t>
                  </w:r>
                </w:p>
              </w:tc>
              <w:tc>
                <w:tcPr>
                  <w:tcW w:w="21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rPr>
                    <w:t>满意度=</w:t>
                  </w:r>
                  <w:r>
                    <w:rPr>
                      <w:rFonts w:hint="eastAsia" w:ascii="宋体" w:hAnsi="宋体" w:cs="宋体"/>
                      <w:color w:val="000000" w:themeColor="text1"/>
                      <w:kern w:val="0"/>
                      <w:lang w:eastAsia="zh-CN"/>
                    </w:rPr>
                    <w:t>满意度调查</w:t>
                  </w:r>
                  <w:r>
                    <w:rPr>
                      <w:rFonts w:hint="eastAsia" w:ascii="宋体" w:hAnsi="宋体" w:cs="宋体"/>
                      <w:color w:val="000000" w:themeColor="text1"/>
                      <w:kern w:val="0"/>
                    </w:rPr>
                    <w:t>总分数÷调查数量×100%；；</w:t>
                  </w:r>
                </w:p>
              </w:tc>
              <w:tc>
                <w:tcPr>
                  <w:tcW w:w="1213"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color w:val="000000" w:themeColor="text1"/>
                      <w:sz w:val="24"/>
                      <w:szCs w:val="24"/>
                      <w:lang w:eastAsia="zh-CN"/>
                    </w:rPr>
                    <w:t>供销部</w:t>
                  </w:r>
                </w:p>
              </w:tc>
              <w:tc>
                <w:tcPr>
                  <w:tcW w:w="191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97%</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组织应确定、提供并维护所需的基础设施情况：</w:t>
            </w:r>
          </w:p>
          <w:p>
            <w:pPr>
              <w:shd w:val="clear" w:color="auto" w:fill="C7DAF1" w:themeFill="text2" w:themeFillTint="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厂房面积</w:t>
            </w:r>
            <w:r>
              <w:rPr>
                <w:rFonts w:hint="eastAsia"/>
                <w:color w:val="000000" w:themeColor="text1"/>
                <w:lang w:val="en-US" w:eastAsia="zh-CN"/>
                <w14:textFill>
                  <w14:solidFill>
                    <w14:schemeClr w14:val="tx1"/>
                  </w14:solidFill>
                </w14:textFill>
              </w:rPr>
              <w:t>2000</w:t>
            </w:r>
            <w:r>
              <w:rPr>
                <w:rFonts w:hint="eastAsia"/>
                <w:color w:val="000000" w:themeColor="text1"/>
                <w14:textFill>
                  <w14:solidFill>
                    <w14:schemeClr w14:val="tx1"/>
                  </w14:solidFill>
                </w14:textFill>
              </w:rPr>
              <w:t xml:space="preserve">平方米；生产车间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个；库房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个；实验室   个；</w:t>
            </w:r>
          </w:p>
          <w:p>
            <w:pPr>
              <w:shd w:val="clear" w:color="auto" w:fill="C7DAF1" w:themeFill="text2" w:themeFillTint="32"/>
              <w:rPr>
                <w:rFonts w:hint="eastAsia"/>
                <w:color w:val="000000" w:themeColor="text1"/>
                <w:lang w:eastAsia="zh-CN"/>
              </w:rPr>
            </w:pPr>
            <w:r>
              <w:rPr>
                <w:rFonts w:hint="eastAsia"/>
                <w:color w:val="000000" w:themeColor="text1"/>
              </w:rPr>
              <w:t>主要生产设备有：</w:t>
            </w:r>
            <w:r>
              <w:rPr>
                <w:rFonts w:hint="eastAsia" w:ascii="宋体" w:hAnsi="宋体"/>
                <w:szCs w:val="21"/>
                <w:lang w:eastAsia="zh-CN"/>
              </w:rPr>
              <w:t>冲床、剪板机、车床、铣床、台钻</w:t>
            </w:r>
            <w:r>
              <w:rPr>
                <w:rFonts w:hint="eastAsia"/>
                <w:color w:val="000000" w:themeColor="text1"/>
                <w:lang w:eastAsia="zh-CN"/>
              </w:rPr>
              <w:t>等</w:t>
            </w:r>
          </w:p>
          <w:p>
            <w:pPr>
              <w:shd w:val="clear" w:color="auto" w:fill="C7DAF1" w:themeFill="text2" w:themeFillTint="32"/>
              <w:rPr>
                <w:rFonts w:hint="eastAsia"/>
                <w:color w:val="000000" w:themeColor="text1"/>
              </w:rPr>
            </w:pPr>
            <w:r>
              <w:rPr>
                <w:rFonts w:hint="eastAsia"/>
                <w:color w:val="000000" w:themeColor="text1"/>
              </w:rPr>
              <w:t>特种设备：</w:t>
            </w:r>
            <w:r>
              <w:rPr>
                <w:rFonts w:hint="eastAsia"/>
                <w:color w:val="000000" w:themeColor="text1"/>
                <w:lang w:eastAsia="zh-CN"/>
              </w:rPr>
              <w:t>无</w:t>
            </w:r>
            <w:r>
              <w:rPr>
                <w:rFonts w:hint="eastAsia"/>
                <w:color w:val="000000" w:themeColor="text1"/>
              </w:rPr>
              <w:t xml:space="preserve">   </w:t>
            </w:r>
          </w:p>
          <w:p>
            <w:pPr>
              <w:shd w:val="clear" w:color="auto" w:fill="C7DAF1" w:themeFill="text2" w:themeFillTint="32"/>
              <w:rPr>
                <w:rFonts w:hint="eastAsia"/>
                <w:color w:val="000000" w:themeColor="text1"/>
              </w:rPr>
            </w:pPr>
            <w:r>
              <w:rPr>
                <w:rFonts w:hint="eastAsia"/>
                <w:color w:val="000000" w:themeColor="text1"/>
              </w:rPr>
              <w:t>特种设备管理：□进行了定期检验  □未进行定期检验的有：</w:t>
            </w:r>
          </w:p>
          <w:p>
            <w:pPr>
              <w:shd w:val="clear" w:color="auto" w:fill="C7DAF1" w:themeFill="text2" w:themeFillTint="32"/>
              <w:rPr>
                <w:color w:val="000000" w:themeColor="text1"/>
              </w:rPr>
            </w:pPr>
            <w:r>
              <w:rPr>
                <w:rFonts w:hint="eastAsia"/>
                <w:lang w:eastAsia="zh-CN"/>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szCs w:val="21"/>
              </w:rPr>
              <w:t>：游标卡尺、钢卷尺</w:t>
            </w:r>
            <w:r>
              <w:rPr>
                <w:rFonts w:hint="eastAsia"/>
                <w:color w:val="000000" w:themeColor="text1"/>
                <w:szCs w:val="21"/>
                <w:lang w:eastAsia="zh-CN"/>
              </w:rPr>
              <w:t>等</w:t>
            </w:r>
            <w:r>
              <w:rPr>
                <w:rFonts w:hint="eastAsia"/>
              </w:rPr>
              <w:t xml:space="preserve"> </w:t>
            </w:r>
          </w:p>
          <w:p>
            <w:pPr>
              <w:shd w:val="clear" w:color="auto" w:fill="C7DAF1" w:themeFill="text2" w:themeFillTint="32"/>
              <w:rPr>
                <w:rFonts w:hint="eastAsia" w:ascii="Times New Roman" w:hAnsi="Times New Roman" w:eastAsia="宋体" w:cs="Times New Roman"/>
              </w:rPr>
            </w:pPr>
            <w:r>
              <w:rPr>
                <w:rFonts w:hint="eastAsia"/>
              </w:rPr>
              <w:t>计量器具的</w:t>
            </w:r>
            <w:r>
              <w:t>测量溯</w:t>
            </w:r>
            <w:r>
              <w:rPr>
                <w:rFonts w:hint="eastAsia"/>
              </w:rPr>
              <w:t>源方法</w:t>
            </w:r>
            <w:r>
              <w:rPr>
                <w:rFonts w:hint="eastAsia"/>
                <w:lang w:eastAsia="zh-CN"/>
              </w:rPr>
              <w:t>：</w:t>
            </w:r>
            <w:r>
              <w:rPr>
                <w:rFonts w:hint="eastAsia"/>
              </w:rPr>
              <w:t>外</w:t>
            </w:r>
            <w:r>
              <w:rPr>
                <w:rFonts w:hint="eastAsia" w:ascii="Times New Roman" w:hAnsi="Times New Roman" w:eastAsia="宋体" w:cs="Times New Roman"/>
              </w:rPr>
              <w:t xml:space="preserve">校 </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国家强检的计量器具有： </w:t>
            </w:r>
          </w:p>
          <w:p>
            <w:pPr>
              <w:shd w:val="clear" w:color="auto" w:fill="C7DAF1" w:themeFill="text2" w:themeFillTint="32"/>
              <w:rPr>
                <w:u w:val="single"/>
              </w:rPr>
            </w:pPr>
            <w:r>
              <w:rPr>
                <w:rFonts w:hint="eastAsia" w:ascii="Times New Roman" w:hAnsi="Times New Roman" w:eastAsia="宋体" w:cs="Times New Roman"/>
              </w:rPr>
              <w:t>计量器具管理：</w:t>
            </w:r>
            <w:r>
              <w:rPr>
                <w:rFonts w:hint="eastAsia" w:ascii="Times New Roman" w:hAnsi="Times New Roman" w:eastAsia="宋体" w:cs="Times New Roman"/>
                <w:lang w:eastAsia="zh-CN"/>
              </w:rPr>
              <w:t>满足要求</w:t>
            </w:r>
            <w:r>
              <w:rPr>
                <w:rFonts w:hint="eastAsia" w:ascii="Times New Roman" w:hAnsi="Times New Roman" w:eastAsia="宋体" w:cs="Times New Roma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w:t>
            </w:r>
            <w:r>
              <w:rPr>
                <w:rFonts w:ascii="Wingdings" w:hAnsi="Wingdings"/>
              </w:rPr>
              <w:sym w:font="Wingdings" w:char="00FE"/>
            </w:r>
            <w:r>
              <w:rPr>
                <w:rFonts w:hint="eastAsia"/>
              </w:rPr>
              <w:t xml:space="preserve">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r>
                    <w:rPr>
                      <w:rFonts w:ascii="宋体" w:hAnsi="宋体" w:cs="宋体"/>
                      <w:color w:val="000000"/>
                      <w:kern w:val="0"/>
                      <w:szCs w:val="21"/>
                    </w:rPr>
                    <w:t>冲压件的加工</w:t>
                  </w:r>
                </w:p>
              </w:tc>
              <w:tc>
                <w:tcPr>
                  <w:tcW w:w="2990" w:type="dxa"/>
                </w:tcPr>
                <w:p>
                  <w:pPr>
                    <w:shd w:val="clear" w:color="auto" w:fill="C7DAF1" w:themeFill="text2" w:themeFillTint="32"/>
                    <w:jc w:val="left"/>
                    <w:rPr>
                      <w:rFonts w:hint="eastAsia" w:eastAsia="宋体"/>
                      <w:lang w:eastAsia="zh-CN"/>
                    </w:rPr>
                  </w:pPr>
                  <w:r>
                    <w:rPr>
                      <w:rFonts w:hint="eastAsia"/>
                      <w:lang w:eastAsia="zh-CN"/>
                    </w:rPr>
                    <w:t>机加（</w:t>
                  </w:r>
                  <w:r>
                    <w:rPr>
                      <w:rFonts w:hint="eastAsia" w:ascii="宋体" w:hAnsi="宋体"/>
                      <w:szCs w:val="21"/>
                    </w:rPr>
                    <w:t>冲压成型</w:t>
                  </w:r>
                  <w:r>
                    <w:rPr>
                      <w:rFonts w:hint="eastAsia"/>
                      <w:lang w:eastAsia="zh-CN"/>
                    </w:rPr>
                    <w:t>）</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u w:val="single"/>
                <w:lang w:eastAsia="zh-CN"/>
              </w:rPr>
              <w:t xml:space="preserve">无          </w:t>
            </w:r>
            <w:r>
              <w:rPr>
                <w:rFonts w:hint="eastAsia"/>
                <w:u w:val="single"/>
              </w:rPr>
              <w:t xml:space="preserve">                         </w:t>
            </w:r>
            <w:r>
              <w:rPr>
                <w:rFonts w:hint="eastAsia"/>
              </w:rPr>
              <w:t xml:space="preserve"> ，</w:t>
            </w:r>
          </w:p>
          <w:p>
            <w:pPr>
              <w:shd w:val="clear" w:color="auto" w:fill="C7DA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进行了有效的确认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于20</w:t>
            </w:r>
            <w:r>
              <w:rPr>
                <w:rFonts w:hint="eastAsia"/>
                <w:color w:val="000000" w:themeColor="text1"/>
                <w:lang w:val="en-US" w:eastAsia="zh-CN"/>
              </w:rPr>
              <w:t>21</w:t>
            </w:r>
            <w:r>
              <w:rPr>
                <w:rFonts w:hint="eastAsia"/>
                <w:color w:val="000000" w:themeColor="text1"/>
              </w:rPr>
              <w:t>-</w:t>
            </w:r>
            <w:r>
              <w:rPr>
                <w:rFonts w:hint="eastAsia"/>
                <w:color w:val="000000" w:themeColor="text1"/>
                <w:lang w:val="en-US" w:eastAsia="zh-CN"/>
              </w:rPr>
              <w:t>07</w:t>
            </w:r>
            <w:r>
              <w:rPr>
                <w:rFonts w:hint="eastAsia"/>
                <w:color w:val="000000" w:themeColor="text1"/>
              </w:rPr>
              <w:t>-</w:t>
            </w:r>
            <w:r>
              <w:rPr>
                <w:rFonts w:hint="eastAsia"/>
                <w:color w:val="000000" w:themeColor="text1"/>
                <w:lang w:val="en-US" w:eastAsia="zh-CN"/>
              </w:rPr>
              <w:t>02</w:t>
            </w:r>
            <w:r>
              <w:rPr>
                <w:rFonts w:hint="eastAsia"/>
                <w:color w:val="000000" w:themeColor="text1"/>
              </w:rPr>
              <w:t>实</w:t>
            </w:r>
            <w:r>
              <w:rPr>
                <w:rFonts w:hint="eastAsia"/>
                <w:color w:val="000000" w:themeColor="text1"/>
              </w:rPr>
              <w:t xml:space="preserve">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color w:val="000000" w:themeColor="text1"/>
                <w:lang w:eastAsia="zh-CN"/>
              </w:rPr>
              <w:t>202</w:t>
            </w:r>
            <w:r>
              <w:rPr>
                <w:rFonts w:hint="default"/>
                <w:color w:val="000000" w:themeColor="text1"/>
                <w:lang w:eastAsia="zh-CN"/>
              </w:rPr>
              <w:t>1</w:t>
            </w:r>
            <w:r>
              <w:rPr>
                <w:rFonts w:hint="eastAsia"/>
                <w:color w:val="000000" w:themeColor="text1"/>
                <w:lang w:eastAsia="zh-CN"/>
              </w:rPr>
              <w:t>年</w:t>
            </w:r>
            <w:r>
              <w:rPr>
                <w:rFonts w:hint="eastAsia"/>
                <w:color w:val="000000" w:themeColor="text1"/>
                <w:lang w:val="en-US" w:eastAsia="zh-CN"/>
              </w:rPr>
              <w:t>07</w:t>
            </w:r>
            <w:r>
              <w:rPr>
                <w:rFonts w:hint="eastAsia"/>
                <w:color w:val="000000" w:themeColor="text1"/>
                <w:lang w:eastAsia="zh-CN"/>
              </w:rPr>
              <w:t>月</w:t>
            </w:r>
            <w:r>
              <w:rPr>
                <w:rFonts w:hint="eastAsia"/>
                <w:color w:val="000000" w:themeColor="text1"/>
                <w:lang w:val="en-US" w:eastAsia="zh-CN"/>
              </w:rPr>
              <w:t>1</w:t>
            </w:r>
            <w:r>
              <w:rPr>
                <w:rFonts w:hint="default"/>
                <w:color w:val="000000" w:themeColor="text1"/>
              </w:rPr>
              <w:t>5</w:t>
            </w:r>
            <w:r>
              <w:rPr>
                <w:rFonts w:hint="eastAsia"/>
                <w:color w:val="000000" w:themeColor="text1"/>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bookmarkStart w:id="34" w:name="_GoBack"/>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3（9.1.3）</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bookmarkEnd w:id="34"/>
    </w:tbl>
    <w:p>
      <w:pPr>
        <w:shd w:val="clear" w:color="auto" w:fill="C7DAF1" w:themeFill="text2" w:themeFillTint="32"/>
      </w:pPr>
    </w:p>
    <w:p>
      <w:pPr>
        <w:shd w:val="clear" w:color="auto" w:fill="C7DAF1" w:themeFill="text2" w:themeFillTint="3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410D0C"/>
    <w:rsid w:val="15A97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2021-12-23T07:14:59Z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