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1303-2021-F</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sz w:val="21"/>
                <w:szCs w:val="21"/>
              </w:rPr>
              <w:t>北京金尚互联科技股份有限公司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hint="default" w:eastAsia="隶书"/>
                <w:b/>
                <w:color w:val="000000" w:themeColor="text1"/>
                <w:sz w:val="22"/>
                <w:szCs w:val="22"/>
                <w:lang w:val="en-US" w:eastAsia="zh-CN"/>
                <w14:textFill>
                  <w14:solidFill>
                    <w14:schemeClr w14:val="tx1"/>
                  </w14:solidFill>
                </w14:textFill>
              </w:rPr>
            </w:pPr>
            <w:bookmarkStart w:id="2" w:name="总组长"/>
            <w:bookmarkEnd w:id="2"/>
            <w:r>
              <w:rPr>
                <w:rFonts w:hint="eastAsia" w:eastAsia="隶书"/>
                <w:b/>
                <w:color w:val="000000" w:themeColor="text1"/>
                <w:sz w:val="22"/>
                <w:szCs w:val="22"/>
                <w:lang w:val="en-US" w:eastAsia="zh-CN"/>
                <w14:textFill>
                  <w14:solidFill>
                    <w14:schemeClr w14:val="tx1"/>
                  </w14:solidFill>
                </w14:textFill>
              </w:rPr>
              <w:t>张静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r>
              <w:rPr>
                <w:rFonts w:hint="eastAsia"/>
                <w:szCs w:val="44"/>
                <w:u w:val="none"/>
              </w:rPr>
              <w:t>0020-2020-Q-2021</w:t>
            </w: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91320621MA22LIDM2Q</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带标  </w:t>
            </w:r>
            <w:r>
              <w:rPr>
                <w:rFonts w:hint="eastAsia"/>
                <w:sz w:val="22"/>
                <w:szCs w:val="22"/>
              </w:rPr>
              <w:sym w:font="Wingdings 2" w:char="0052"/>
            </w:r>
            <w:r>
              <w:rPr>
                <w:rFonts w:hint="eastAsia"/>
                <w:sz w:val="22"/>
                <w:szCs w:val="22"/>
              </w:rPr>
              <w:t xml:space="preserve">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19001-2016 idt ISO 9001:2015标准 (不适用：  条款)</w:t>
            </w:r>
          </w:p>
          <w:p>
            <w:pPr>
              <w:snapToGrid w:val="0"/>
              <w:spacing w:line="0" w:lineRule="atLeast"/>
              <w:jc w:val="left"/>
              <w:rPr>
                <w:sz w:val="22"/>
                <w:szCs w:val="22"/>
              </w:rPr>
            </w:pPr>
            <w:bookmarkStart w:id="5" w:name="QJ勾选"/>
            <w:r>
              <w:rPr>
                <w:rFonts w:hint="eastAsia"/>
                <w:sz w:val="22"/>
                <w:szCs w:val="22"/>
              </w:rPr>
              <w:t>□</w:t>
            </w:r>
            <w:bookmarkEnd w:id="5"/>
            <w:r>
              <w:rPr>
                <w:rFonts w:hint="eastAsia"/>
                <w:sz w:val="22"/>
                <w:szCs w:val="22"/>
              </w:rPr>
              <w:t xml:space="preserve"> GB/T 50430-2017 (不适用：  条款)；</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p>
            <w:pPr>
              <w:snapToGrid w:val="0"/>
              <w:spacing w:line="0" w:lineRule="atLeast"/>
              <w:jc w:val="left"/>
              <w:rPr>
                <w:sz w:val="22"/>
                <w:szCs w:val="22"/>
              </w:rPr>
            </w:pPr>
            <w:bookmarkStart w:id="8" w:name="EnMS勾选"/>
            <w:r>
              <w:rPr>
                <w:rFonts w:hint="eastAsia"/>
                <w:sz w:val="22"/>
                <w:szCs w:val="22"/>
              </w:rPr>
              <w:t>□</w:t>
            </w:r>
            <w:bookmarkEnd w:id="8"/>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w:t>
            </w:r>
            <w:r>
              <w:rPr>
                <w:rFonts w:hint="eastAsia"/>
                <w:sz w:val="22"/>
                <w:szCs w:val="22"/>
                <w:lang w:val="en-US" w:eastAsia="zh-CN"/>
              </w:rPr>
              <w:t xml:space="preserve"> </w:t>
            </w:r>
            <w:r>
              <w:rPr>
                <w:rFonts w:hint="eastAsia"/>
                <w:sz w:val="22"/>
                <w:szCs w:val="22"/>
              </w:rPr>
              <w:t xml:space="preserve">RB/T XXXX-XXXX                     </w:t>
            </w:r>
          </w:p>
          <w:p>
            <w:pPr>
              <w:snapToGrid w:val="0"/>
              <w:spacing w:line="0" w:lineRule="atLeast"/>
              <w:jc w:val="left"/>
              <w:rPr>
                <w:sz w:val="22"/>
                <w:szCs w:val="22"/>
              </w:rPr>
            </w:pPr>
            <w:r>
              <w:rPr>
                <w:rFonts w:hint="eastAsia"/>
                <w:sz w:val="22"/>
                <w:szCs w:val="22"/>
              </w:rPr>
              <w:t>□</w:t>
            </w:r>
            <w:r>
              <w:rPr>
                <w:rFonts w:hint="eastAsia"/>
                <w:sz w:val="22"/>
                <w:szCs w:val="22"/>
                <w:lang w:val="en-US" w:eastAsia="zh-CN"/>
              </w:rPr>
              <w:t xml:space="preserve"> </w:t>
            </w:r>
            <w:r>
              <w:rPr>
                <w:rFonts w:hint="eastAsia"/>
                <w:sz w:val="22"/>
                <w:szCs w:val="22"/>
              </w:rPr>
              <w:t>ISO 22000-2018</w:t>
            </w:r>
          </w:p>
          <w:p>
            <w:pPr>
              <w:snapToGrid w:val="0"/>
              <w:spacing w:line="0" w:lineRule="atLeast"/>
              <w:jc w:val="left"/>
              <w:rPr>
                <w:sz w:val="22"/>
                <w:szCs w:val="22"/>
              </w:rPr>
            </w:pPr>
            <w:bookmarkStart w:id="9" w:name="H勾选"/>
            <w:r>
              <w:rPr>
                <w:rFonts w:hint="eastAsia"/>
                <w:sz w:val="22"/>
                <w:szCs w:val="22"/>
              </w:rPr>
              <w:t>□</w:t>
            </w:r>
            <w:bookmarkEnd w:id="9"/>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0" w:name="体系人数"/>
            <w:r>
              <w:rPr>
                <w:sz w:val="22"/>
                <w:szCs w:val="22"/>
              </w:rPr>
              <w:t>23</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r>
              <w:rPr>
                <w:rFonts w:hint="eastAsia"/>
                <w:b/>
                <w:color w:val="000000" w:themeColor="text1"/>
                <w:spacing w:val="-2"/>
                <w:sz w:val="21"/>
                <w:szCs w:val="21"/>
                <w14:textFill>
                  <w14:solidFill>
                    <w14:schemeClr w14:val="tx1"/>
                  </w14:solidFill>
                </w14:textFill>
              </w:rPr>
              <w:t>□初次认证</w:t>
            </w:r>
            <w:bookmarkStart w:id="11" w:name="初审"/>
            <w:r>
              <w:rPr>
                <w:rFonts w:hint="eastAsia"/>
                <w:b/>
                <w:color w:val="000000" w:themeColor="text1"/>
                <w:spacing w:val="-2"/>
                <w:sz w:val="21"/>
                <w:szCs w:val="21"/>
                <w14:textFill>
                  <w14:solidFill>
                    <w14:schemeClr w14:val="tx1"/>
                  </w14:solidFill>
                </w14:textFill>
              </w:rPr>
              <w:t>■</w:t>
            </w:r>
            <w:bookmarkEnd w:id="11"/>
            <w:r>
              <w:rPr>
                <w:rFonts w:hint="eastAsia"/>
                <w:b/>
                <w:color w:val="000000" w:themeColor="text1"/>
                <w:spacing w:val="-2"/>
                <w:sz w:val="21"/>
                <w:szCs w:val="21"/>
                <w14:textFill>
                  <w14:solidFill>
                    <w14:schemeClr w14:val="tx1"/>
                  </w14:solidFill>
                </w14:textFill>
              </w:rPr>
              <w:t>监督审核</w:t>
            </w:r>
            <w:bookmarkStart w:id="12" w:name="再认证勾选"/>
            <w:r>
              <w:rPr>
                <w:rFonts w:hint="eastAsia"/>
                <w:b/>
                <w:color w:val="000000" w:themeColor="text1"/>
                <w:spacing w:val="-2"/>
                <w:sz w:val="21"/>
                <w:szCs w:val="21"/>
                <w14:textFill>
                  <w14:solidFill>
                    <w14:schemeClr w14:val="tx1"/>
                  </w14:solidFill>
                </w14:textFill>
              </w:rPr>
              <w:t>□</w:t>
            </w:r>
            <w:bookmarkEnd w:id="12"/>
            <w:r>
              <w:rPr>
                <w:rFonts w:hint="eastAsia"/>
                <w:b/>
                <w:color w:val="000000" w:themeColor="text1"/>
                <w:spacing w:val="-2"/>
                <w:sz w:val="21"/>
                <w:szCs w:val="21"/>
                <w14:textFill>
                  <w14:solidFill>
                    <w14:schemeClr w14:val="tx1"/>
                  </w14:solidFill>
                </w14:textFill>
              </w:rPr>
              <w:t>再认证</w:t>
            </w:r>
            <w:bookmarkStart w:id="13" w:name="特殊审核勾选"/>
            <w:r>
              <w:rPr>
                <w:rFonts w:hint="eastAsia"/>
                <w:b/>
                <w:color w:val="000000" w:themeColor="text1"/>
                <w:spacing w:val="-2"/>
                <w:sz w:val="21"/>
                <w:szCs w:val="21"/>
                <w14:textFill>
                  <w14:solidFill>
                    <w14:schemeClr w14:val="tx1"/>
                  </w14:solidFill>
                </w14:textFill>
              </w:rPr>
              <w:t>□</w:t>
            </w:r>
            <w:bookmarkEnd w:id="13"/>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w:t>
            </w:r>
            <w:r>
              <w:rPr>
                <w:rFonts w:hint="eastAsia"/>
                <w:b/>
                <w:color w:val="000000" w:themeColor="text1"/>
                <w:sz w:val="22"/>
                <w:szCs w:val="22"/>
                <w:lang w:eastAsia="zh-CN"/>
                <w14:textFill>
                  <w14:solidFill>
                    <w14:schemeClr w14:val="tx1"/>
                  </w14:solidFill>
                </w14:textFill>
              </w:rPr>
              <w:t>☑</w:t>
            </w:r>
            <w:r>
              <w:rPr>
                <w:rFonts w:hint="eastAsia"/>
                <w:b/>
                <w:color w:val="000000" w:themeColor="text1"/>
                <w:sz w:val="22"/>
                <w:szCs w:val="22"/>
                <w14:textFill>
                  <w14:solidFill>
                    <w14:schemeClr w14:val="tx1"/>
                  </w14:solidFill>
                </w14:textFill>
              </w:rPr>
              <w:t>认证范围变更（□扩大</w:t>
            </w:r>
            <w:r>
              <w:rPr>
                <w:rFonts w:hint="eastAsia"/>
                <w:b/>
                <w:color w:val="000000" w:themeColor="text1"/>
                <w:sz w:val="22"/>
                <w:szCs w:val="22"/>
                <w:lang w:eastAsia="zh-CN"/>
                <w14:textFill>
                  <w14:solidFill>
                    <w14:schemeClr w14:val="tx1"/>
                  </w14:solidFill>
                </w14:textFill>
              </w:rPr>
              <w:t>☑</w:t>
            </w:r>
            <w:r>
              <w:rPr>
                <w:rFonts w:hint="eastAsia"/>
                <w:b/>
                <w:color w:val="000000" w:themeColor="text1"/>
                <w:sz w:val="22"/>
                <w:szCs w:val="22"/>
                <w14:textFill>
                  <w14:solidFill>
                    <w14:schemeClr w14:val="tx1"/>
                  </w14:solidFill>
                </w14:textFill>
              </w:rPr>
              <w:t>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r>
              <w:rPr>
                <w:sz w:val="21"/>
                <w:szCs w:val="21"/>
              </w:rPr>
              <w:t>北京金尚互联科技股份有限公司</w:t>
            </w:r>
          </w:p>
        </w:tc>
        <w:tc>
          <w:tcPr>
            <w:tcW w:w="5013" w:type="dxa"/>
            <w:gridSpan w:val="4"/>
            <w:vMerge w:val="restart"/>
          </w:tcPr>
          <w:p>
            <w:pPr>
              <w:snapToGrid w:val="0"/>
              <w:spacing w:line="0" w:lineRule="atLeast"/>
              <w:jc w:val="left"/>
              <w:rPr>
                <w:rFonts w:hint="eastAsia"/>
                <w:b/>
                <w:bCs/>
                <w:sz w:val="28"/>
                <w:szCs w:val="28"/>
                <w:lang w:val="en-US" w:eastAsia="zh-CN"/>
              </w:rPr>
            </w:pPr>
            <w:bookmarkStart w:id="14" w:name="审核范围"/>
          </w:p>
          <w:p>
            <w:pPr>
              <w:snapToGrid w:val="0"/>
              <w:spacing w:line="0" w:lineRule="atLeast"/>
              <w:jc w:val="left"/>
              <w:rPr>
                <w:sz w:val="22"/>
                <w:szCs w:val="22"/>
              </w:rPr>
            </w:pPr>
            <w:r>
              <w:rPr>
                <w:rFonts w:hint="eastAsia"/>
                <w:b/>
                <w:bCs/>
                <w:sz w:val="28"/>
                <w:szCs w:val="28"/>
                <w:lang w:val="en-US" w:eastAsia="zh-CN"/>
              </w:rPr>
              <w:t>电子商务</w:t>
            </w:r>
            <w:r>
              <w:rPr>
                <w:b/>
                <w:bCs/>
                <w:sz w:val="28"/>
                <w:szCs w:val="28"/>
              </w:rPr>
              <w:t>软件</w:t>
            </w:r>
            <w:r>
              <w:rPr>
                <w:rFonts w:hint="eastAsia"/>
                <w:b/>
                <w:bCs/>
                <w:sz w:val="28"/>
                <w:szCs w:val="28"/>
                <w:lang w:val="en-US" w:eastAsia="zh-CN"/>
              </w:rPr>
              <w:t>平台</w:t>
            </w:r>
            <w:r>
              <w:rPr>
                <w:b/>
                <w:bCs/>
                <w:sz w:val="28"/>
                <w:szCs w:val="28"/>
              </w:rPr>
              <w:t>开发</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5" w:name="注册地址"/>
            <w:r>
              <w:rPr>
                <w:rFonts w:asciiTheme="minorEastAsia" w:hAnsiTheme="minorEastAsia" w:eastAsiaTheme="minorEastAsia"/>
                <w:sz w:val="20"/>
              </w:rPr>
              <w:t>北京市海淀区花园东路11号泰兴大厦西配楼5层501室</w:t>
            </w:r>
            <w:bookmarkEnd w:id="15"/>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r>
              <w:rPr>
                <w:rFonts w:asciiTheme="minorEastAsia" w:hAnsiTheme="minorEastAsia" w:eastAsiaTheme="minorEastAsia"/>
                <w:sz w:val="20"/>
              </w:rPr>
              <w:t>北京市海淀区花园东路11号泰兴大厦西配楼5层501室</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sz w:val="22"/>
                <w:szCs w:val="22"/>
              </w:rPr>
              <w:t>Beijing Keesail Technology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1"/>
                <w:szCs w:val="16"/>
              </w:rPr>
              <w:t xml:space="preserve">Development of </w:t>
            </w:r>
            <w:r>
              <w:rPr>
                <w:rFonts w:hint="eastAsia"/>
                <w:sz w:val="21"/>
                <w:szCs w:val="16"/>
                <w:lang w:val="en-US" w:eastAsia="zh-CN"/>
              </w:rPr>
              <w:t>E</w:t>
            </w:r>
            <w:r>
              <w:rPr>
                <w:rFonts w:hint="eastAsia"/>
                <w:sz w:val="21"/>
                <w:szCs w:val="16"/>
              </w:rPr>
              <w:t xml:space="preserve">lectronic </w:t>
            </w:r>
            <w:r>
              <w:rPr>
                <w:rFonts w:hint="eastAsia"/>
                <w:sz w:val="21"/>
                <w:szCs w:val="16"/>
                <w:lang w:val="en-US" w:eastAsia="zh-CN"/>
              </w:rPr>
              <w:t>C</w:t>
            </w:r>
            <w:r>
              <w:rPr>
                <w:rFonts w:hint="eastAsia"/>
                <w:sz w:val="21"/>
                <w:szCs w:val="16"/>
              </w:rPr>
              <w:t xml:space="preserve">ommerce </w:t>
            </w:r>
            <w:r>
              <w:rPr>
                <w:rFonts w:hint="eastAsia"/>
                <w:sz w:val="21"/>
                <w:szCs w:val="16"/>
                <w:lang w:val="en-US" w:eastAsia="zh-CN"/>
              </w:rPr>
              <w:t>S</w:t>
            </w:r>
            <w:r>
              <w:rPr>
                <w:rFonts w:hint="eastAsia"/>
                <w:sz w:val="21"/>
                <w:szCs w:val="16"/>
              </w:rPr>
              <w:t xml:space="preserve">oftware </w:t>
            </w:r>
            <w:r>
              <w:rPr>
                <w:rFonts w:hint="eastAsia"/>
                <w:sz w:val="21"/>
                <w:szCs w:val="16"/>
                <w:lang w:val="en-US" w:eastAsia="zh-CN"/>
              </w:rPr>
              <w:t>P</w:t>
            </w:r>
            <w:bookmarkStart w:id="19" w:name="_GoBack"/>
            <w:bookmarkEnd w:id="19"/>
            <w:r>
              <w:rPr>
                <w:rFonts w:hint="eastAsia"/>
                <w:sz w:val="21"/>
                <w:szCs w:val="16"/>
              </w:rPr>
              <w:t>latform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rFonts w:hint="default" w:eastAsia="宋体"/>
                <w:sz w:val="22"/>
                <w:szCs w:val="22"/>
                <w:lang w:val="en-US" w:eastAsia="zh-CN"/>
              </w:rPr>
            </w:pPr>
            <w:r>
              <w:rPr>
                <w:rFonts w:hint="eastAsia"/>
                <w:sz w:val="22"/>
                <w:szCs w:val="22"/>
              </w:rPr>
              <w:t xml:space="preserve">Room 501,5th floor, West Wing, </w:t>
            </w:r>
            <w:r>
              <w:rPr>
                <w:rFonts w:hint="eastAsia"/>
                <w:sz w:val="22"/>
                <w:szCs w:val="22"/>
                <w:lang w:val="en-US" w:eastAsia="zh-CN"/>
              </w:rPr>
              <w:t>T</w:t>
            </w:r>
            <w:r>
              <w:rPr>
                <w:rFonts w:hint="eastAsia"/>
                <w:sz w:val="22"/>
                <w:szCs w:val="22"/>
              </w:rPr>
              <w:t xml:space="preserve">aixing </w:t>
            </w:r>
            <w:r>
              <w:rPr>
                <w:rFonts w:hint="eastAsia"/>
                <w:sz w:val="22"/>
                <w:szCs w:val="22"/>
                <w:lang w:val="en-US" w:eastAsia="zh-CN"/>
              </w:rPr>
              <w:t>B</w:t>
            </w:r>
            <w:r>
              <w:rPr>
                <w:rFonts w:hint="eastAsia"/>
                <w:sz w:val="22"/>
                <w:szCs w:val="22"/>
              </w:rPr>
              <w:t xml:space="preserve">uilding, </w:t>
            </w:r>
            <w:r>
              <w:rPr>
                <w:rFonts w:hint="eastAsia"/>
                <w:sz w:val="22"/>
                <w:szCs w:val="22"/>
                <w:lang w:val="en-US" w:eastAsia="zh-CN"/>
              </w:rPr>
              <w:t>No.</w:t>
            </w:r>
            <w:r>
              <w:rPr>
                <w:rFonts w:hint="eastAsia"/>
                <w:sz w:val="22"/>
                <w:szCs w:val="22"/>
              </w:rPr>
              <w:t>11</w:t>
            </w:r>
            <w:r>
              <w:rPr>
                <w:rFonts w:hint="eastAsia"/>
                <w:sz w:val="22"/>
                <w:szCs w:val="22"/>
                <w:lang w:val="en-US" w:eastAsia="zh-CN"/>
              </w:rPr>
              <w:t xml:space="preserve">, </w:t>
            </w:r>
            <w:r>
              <w:rPr>
                <w:rFonts w:hint="eastAsia"/>
                <w:sz w:val="22"/>
                <w:szCs w:val="22"/>
              </w:rPr>
              <w:t xml:space="preserve">Garden East </w:t>
            </w:r>
            <w:r>
              <w:rPr>
                <w:rFonts w:hint="eastAsia"/>
                <w:sz w:val="22"/>
                <w:szCs w:val="22"/>
                <w:lang w:val="en-US" w:eastAsia="zh-CN"/>
              </w:rPr>
              <w:t>Road,</w:t>
            </w:r>
            <w:r>
              <w:rPr>
                <w:rFonts w:hint="eastAsia"/>
                <w:sz w:val="22"/>
                <w:szCs w:val="22"/>
              </w:rPr>
              <w:t xml:space="preserve"> Haidian</w:t>
            </w:r>
            <w:r>
              <w:rPr>
                <w:rFonts w:hint="eastAsia"/>
                <w:sz w:val="22"/>
                <w:szCs w:val="22"/>
                <w:lang w:val="en-US" w:eastAsia="zh-CN"/>
              </w:rPr>
              <w:t xml:space="preserve"> </w:t>
            </w:r>
            <w:r>
              <w:rPr>
                <w:rFonts w:hint="eastAsia"/>
                <w:sz w:val="22"/>
                <w:szCs w:val="22"/>
              </w:rPr>
              <w:t>District , Beijing</w:t>
            </w:r>
            <w:r>
              <w:rPr>
                <w:rFonts w:hint="eastAsia"/>
                <w:sz w:val="22"/>
                <w:szCs w:val="22"/>
                <w:lang w:val="en-US" w:eastAsia="zh-CN"/>
              </w:rPr>
              <w:t>,P.R.China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vAlign w:val="top"/>
          </w:tcPr>
          <w:p>
            <w:pPr>
              <w:snapToGrid w:val="0"/>
              <w:spacing w:line="0" w:lineRule="atLeast"/>
              <w:jc w:val="left"/>
              <w:rPr>
                <w:rFonts w:hint="default" w:ascii="Times New Roman" w:hAnsi="Times New Roman" w:eastAsia="宋体" w:cs="Times New Roman"/>
                <w:kern w:val="2"/>
                <w:sz w:val="22"/>
                <w:szCs w:val="22"/>
                <w:lang w:val="en-US" w:eastAsia="zh-CN" w:bidi="ar-SA"/>
              </w:rPr>
            </w:pPr>
            <w:r>
              <w:rPr>
                <w:rFonts w:hint="eastAsia"/>
                <w:sz w:val="22"/>
                <w:szCs w:val="22"/>
              </w:rPr>
              <w:t xml:space="preserve">Room 501,5th floor, West Wing, </w:t>
            </w:r>
            <w:r>
              <w:rPr>
                <w:rFonts w:hint="eastAsia"/>
                <w:sz w:val="22"/>
                <w:szCs w:val="22"/>
                <w:lang w:val="en-US" w:eastAsia="zh-CN"/>
              </w:rPr>
              <w:t>T</w:t>
            </w:r>
            <w:r>
              <w:rPr>
                <w:rFonts w:hint="eastAsia"/>
                <w:sz w:val="22"/>
                <w:szCs w:val="22"/>
              </w:rPr>
              <w:t xml:space="preserve">aixing </w:t>
            </w:r>
            <w:r>
              <w:rPr>
                <w:rFonts w:hint="eastAsia"/>
                <w:sz w:val="22"/>
                <w:szCs w:val="22"/>
                <w:lang w:val="en-US" w:eastAsia="zh-CN"/>
              </w:rPr>
              <w:t>B</w:t>
            </w:r>
            <w:r>
              <w:rPr>
                <w:rFonts w:hint="eastAsia"/>
                <w:sz w:val="22"/>
                <w:szCs w:val="22"/>
              </w:rPr>
              <w:t xml:space="preserve">uilding, </w:t>
            </w:r>
            <w:r>
              <w:rPr>
                <w:rFonts w:hint="eastAsia"/>
                <w:sz w:val="22"/>
                <w:szCs w:val="22"/>
                <w:lang w:val="en-US" w:eastAsia="zh-CN"/>
              </w:rPr>
              <w:t>No.</w:t>
            </w:r>
            <w:r>
              <w:rPr>
                <w:rFonts w:hint="eastAsia"/>
                <w:sz w:val="22"/>
                <w:szCs w:val="22"/>
              </w:rPr>
              <w:t>11</w:t>
            </w:r>
            <w:r>
              <w:rPr>
                <w:rFonts w:hint="eastAsia"/>
                <w:sz w:val="22"/>
                <w:szCs w:val="22"/>
                <w:lang w:val="en-US" w:eastAsia="zh-CN"/>
              </w:rPr>
              <w:t xml:space="preserve">, </w:t>
            </w:r>
            <w:r>
              <w:rPr>
                <w:rFonts w:hint="eastAsia"/>
                <w:sz w:val="22"/>
                <w:szCs w:val="22"/>
              </w:rPr>
              <w:t xml:space="preserve">Garden East </w:t>
            </w:r>
            <w:r>
              <w:rPr>
                <w:rFonts w:hint="eastAsia"/>
                <w:sz w:val="22"/>
                <w:szCs w:val="22"/>
                <w:lang w:val="en-US" w:eastAsia="zh-CN"/>
              </w:rPr>
              <w:t>Road,</w:t>
            </w:r>
            <w:r>
              <w:rPr>
                <w:rFonts w:hint="eastAsia"/>
                <w:sz w:val="22"/>
                <w:szCs w:val="22"/>
              </w:rPr>
              <w:t xml:space="preserve"> Haidian</w:t>
            </w:r>
            <w:r>
              <w:rPr>
                <w:rFonts w:hint="eastAsia"/>
                <w:sz w:val="22"/>
                <w:szCs w:val="22"/>
                <w:lang w:val="en-US" w:eastAsia="zh-CN"/>
              </w:rPr>
              <w:t xml:space="preserve"> </w:t>
            </w:r>
            <w:r>
              <w:rPr>
                <w:rFonts w:hint="eastAsia"/>
                <w:sz w:val="22"/>
                <w:szCs w:val="22"/>
              </w:rPr>
              <w:t>District , Beijing</w:t>
            </w:r>
            <w:r>
              <w:rPr>
                <w:rFonts w:hint="eastAsia"/>
                <w:sz w:val="22"/>
                <w:szCs w:val="22"/>
                <w:lang w:val="en-US" w:eastAsia="zh-CN"/>
              </w:rPr>
              <w:t>,P.R.China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vAlign w:val="top"/>
          </w:tcPr>
          <w:p>
            <w:pPr>
              <w:snapToGrid w:val="0"/>
              <w:spacing w:line="0" w:lineRule="atLeast"/>
              <w:jc w:val="left"/>
              <w:rPr>
                <w:rFonts w:ascii="Times New Roman" w:hAnsi="Times New Roman" w:eastAsia="宋体" w:cs="Times New Roman"/>
                <w:kern w:val="2"/>
                <w:sz w:val="21"/>
                <w:szCs w:val="1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能源管理体系认证证书附件</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获证组织名称：</w:t>
      </w:r>
      <w:bookmarkStart w:id="16" w:name="组织名称Add2"/>
      <w:r>
        <w:rPr>
          <w:rFonts w:hint="eastAsia"/>
          <w:b/>
          <w:color w:val="000000" w:themeColor="text1"/>
          <w:sz w:val="22"/>
          <w:szCs w:val="22"/>
          <w14:textFill>
            <w14:solidFill>
              <w14:schemeClr w14:val="tx1"/>
            </w14:solidFill>
          </w14:textFill>
        </w:rPr>
        <w:t>纽贝恩（江苏）生物科技有限公司</w:t>
      </w:r>
      <w:bookmarkEnd w:id="16"/>
      <w:r>
        <w:rPr>
          <w:rFonts w:hint="eastAsia"/>
          <w:b/>
          <w:color w:val="000000" w:themeColor="text1"/>
          <w:sz w:val="22"/>
          <w:szCs w:val="22"/>
          <w14:textFill>
            <w14:solidFill>
              <w14:schemeClr w14:val="tx1"/>
            </w14:solidFill>
          </w14:textFill>
        </w:rPr>
        <w:t>证书注册号：</w:t>
      </w:r>
      <w:bookmarkStart w:id="17" w:name="证书编号Add1"/>
      <w:bookmarkEnd w:id="17"/>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获证组织地址：</w:t>
      </w:r>
      <w:bookmarkStart w:id="18" w:name="生产地址"/>
      <w:r>
        <w:rPr>
          <w:b/>
          <w:color w:val="000000" w:themeColor="text1"/>
          <w:sz w:val="22"/>
          <w:szCs w:val="22"/>
          <w14:textFill>
            <w14:solidFill>
              <w14:schemeClr w14:val="tx1"/>
            </w14:solidFill>
          </w14:textFill>
        </w:rPr>
        <w:t>海安市达尔文路255号</w:t>
      </w:r>
      <w:bookmarkEnd w:id="18"/>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认证依据标准：GB/T 23331-2020/ISO50001:2018《能源管理体系 要求及使用指南》</w:t>
      </w:r>
    </w:p>
    <w:p>
      <w:pPr>
        <w:pStyle w:val="2"/>
        <w:spacing w:line="400" w:lineRule="exact"/>
        <w:ind w:firstLine="1546" w:firstLineChars="70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审核类型及时间</w:t>
            </w:r>
          </w:p>
        </w:tc>
        <w:tc>
          <w:tcPr>
            <w:tcW w:w="4735" w:type="dxa"/>
          </w:tcPr>
          <w:p>
            <w:pPr>
              <w:pStyle w:val="2"/>
              <w:spacing w:line="400" w:lineRule="exact"/>
              <w:ind w:firstLine="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能源数据</w:t>
            </w:r>
          </w:p>
        </w:tc>
        <w:tc>
          <w:tcPr>
            <w:tcW w:w="2835" w:type="dxa"/>
          </w:tcPr>
          <w:p>
            <w:pPr>
              <w:pStyle w:val="2"/>
              <w:spacing w:line="400" w:lineRule="exact"/>
              <w:ind w:firstLine="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14:textFill>
                  <w14:solidFill>
                    <w14:schemeClr w14:val="tx1"/>
                  </w14:solidFill>
                </w14:textFill>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14:textFill>
                  <w14:solidFill>
                    <w14:schemeClr w14:val="tx1"/>
                  </w14:solidFill>
                </w14:textFill>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14:textFill>
                  <w14:solidFill>
                    <w14:schemeClr w14:val="tx1"/>
                  </w14:solidFill>
                </w14:textFill>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14:textFill>
                  <w14:solidFill>
                    <w14:schemeClr w14:val="tx1"/>
                  </w14:solidFill>
                </w14:textFill>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14:textFill>
                  <w14:solidFill>
                    <w14:schemeClr w14:val="tx1"/>
                  </w14:solidFill>
                </w14:textFill>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14:textFill>
                  <w14:solidFill>
                    <w14:schemeClr w14:val="tx1"/>
                  </w14:solidFill>
                </w14:textFill>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14:textFill>
                  <w14:solidFill>
                    <w14:schemeClr w14:val="tx1"/>
                  </w14:solidFill>
                </w14:textFill>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14:textFill>
                  <w14:solidFill>
                    <w14:schemeClr w14:val="tx1"/>
                  </w14:solidFill>
                </w14:textFill>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14:textFill>
                  <w14:solidFill>
                    <w14:schemeClr w14:val="tx1"/>
                  </w14:solidFill>
                </w14:textFill>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14:textFill>
                  <w14:solidFill>
                    <w14:schemeClr w14:val="tx1"/>
                  </w14:solidFill>
                </w14:textFill>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14:textFill>
                  <w14:solidFill>
                    <w14:schemeClr w14:val="tx1"/>
                  </w14:solidFill>
                </w14:textFill>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14:textFill>
                  <w14:solidFill>
                    <w14:schemeClr w14:val="tx1"/>
                  </w14:solidFill>
                </w14:textFill>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14:textFill>
                  <w14:solidFill>
                    <w14:schemeClr w14:val="tx1"/>
                  </w14:solidFill>
                </w14:textFill>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14:textFill>
                  <w14:solidFill>
                    <w14:schemeClr w14:val="tx1"/>
                  </w14:solidFill>
                </w14:textFill>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14:textFill>
                  <w14:solidFill>
                    <w14:schemeClr w14:val="tx1"/>
                  </w14:solidFill>
                </w14:textFill>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11430" b="2540"/>
              <wp:wrapNone/>
              <wp:docPr id="1"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FALAjYAAAACQEAAA8AAAAAAAAAAQAgAAAAIgAAAGRycy9kb3ducmV2&#10;LnhtbFBLAQIUABQAAAAIAIdO4kCUWhH2wwEAAHoDAAAOAAAAAAAAAAEAIAAAACcBAABkcnMvZTJv&#10;RG9jLnhtbFBLBQYAAAAABgAGAFkBAABc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AD1E91"/>
    <w:rsid w:val="189241D7"/>
    <w:rsid w:val="1EEF6059"/>
    <w:rsid w:val="53F82586"/>
    <w:rsid w:val="60616B2F"/>
    <w:rsid w:val="783966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和为贵</cp:lastModifiedBy>
  <cp:lastPrinted>2019-05-13T03:13:00Z</cp:lastPrinted>
  <dcterms:modified xsi:type="dcterms:W3CDTF">2021-12-26T10:49:42Z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887736E0AF9E40D9A4336952A8419FBE</vt:lpwstr>
  </property>
  <property fmtid="{D5CDD505-2E9C-101B-9397-08002B2CF9AE}" pid="3" name="KSOProductBuildVer">
    <vt:lpwstr>2052-11.1.0.11194</vt:lpwstr>
  </property>
</Properties>
</file>