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1275-2021-EnMs</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成都尚光电子有限公司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成都尚光电子有限公司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四川省成都经济技术开发区（龙泉驿区）车城东五路141号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四川省成都市青羊区光华东三路489号西环广场2栋605号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龚莉</w:t>
            </w:r>
            <w:bookmarkEnd w:id="10"/>
          </w:p>
        </w:tc>
        <w:tc>
          <w:tcPr>
            <w:tcW w:w="1313" w:type="dxa"/>
            <w:vAlign w:val="center"/>
          </w:tcPr>
          <w:p>
            <w:r>
              <w:rPr>
                <w:rFonts w:hint="eastAsia"/>
              </w:rPr>
              <w:t>电话.</w:t>
            </w:r>
          </w:p>
        </w:tc>
        <w:tc>
          <w:tcPr>
            <w:tcW w:w="2180" w:type="dxa"/>
            <w:vAlign w:val="center"/>
          </w:tcPr>
          <w:p>
            <w:bookmarkStart w:id="11" w:name="联系人电话"/>
            <w:r>
              <w:t>13438186800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李晶</w:t>
            </w:r>
            <w:bookmarkEnd w:id="13"/>
          </w:p>
        </w:tc>
        <w:tc>
          <w:tcPr>
            <w:tcW w:w="1313" w:type="dxa"/>
            <w:vAlign w:val="center"/>
          </w:tcPr>
          <w:p>
            <w:r>
              <w:rPr>
                <w:rFonts w:hint="eastAsia"/>
              </w:rPr>
              <w:t>管理者代表</w:t>
            </w:r>
          </w:p>
        </w:tc>
        <w:tc>
          <w:tcPr>
            <w:tcW w:w="2180" w:type="dxa"/>
          </w:tcPr>
          <w:p>
            <w:bookmarkStart w:id="14" w:name="管理者代表"/>
            <w:r>
              <w:t>龚莉</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szCs w:val="18"/>
              </w:rPr>
            </w:pPr>
            <w:r>
              <w:rPr>
                <w:rFonts w:hint="eastAsia"/>
                <w:color w:val="000000"/>
                <w:szCs w:val="18"/>
              </w:rPr>
              <w:t>研发流程：立项-项目计划-方案设计-详细设计-设计开发评审、验证、确认-交付</w:t>
            </w:r>
          </w:p>
          <w:p>
            <w:r>
              <w:rPr>
                <w:rFonts w:hint="eastAsia"/>
                <w:color w:val="000000"/>
                <w:szCs w:val="18"/>
              </w:rPr>
              <w:t>销售流程：洽谈—方案设计（适用时）—签订合同或订单——采购——交付验收——售后</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4"/>
        <w:gridCol w:w="828"/>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2021年12月20日 下午至2021年12月23日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ISO50001：2018标准</w:t>
            </w:r>
          </w:p>
          <w:p>
            <w:r>
              <w:rPr>
                <w:rFonts w:hint="eastAsia"/>
                <w:lang w:val="de-DE"/>
              </w:rPr>
              <w:t xml:space="preserve">□RB/T       </w:t>
            </w:r>
            <w:r>
              <w:rPr>
                <w:rFonts w:hint="eastAsia"/>
              </w:rPr>
              <w:t>(</w:t>
            </w:r>
            <w:r>
              <w:rPr>
                <w:rFonts w:hint="eastAsia"/>
                <w:lang w:val="de-DE"/>
              </w:rPr>
              <w:t>行业认证标准</w:t>
            </w:r>
            <w:r>
              <w:rPr>
                <w:rFonts w:hint="eastAsia"/>
              </w:rPr>
              <w:t>)</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04" w:type="dxa"/>
            <w:vMerge w:val="restart"/>
            <w:vAlign w:val="center"/>
          </w:tcPr>
          <w:p>
            <w:pPr>
              <w:jc w:val="left"/>
            </w:pPr>
            <w:r>
              <w:rPr>
                <w:rFonts w:hint="eastAsia"/>
              </w:rPr>
              <w:t>审核范围</w:t>
            </w:r>
          </w:p>
        </w:tc>
        <w:tc>
          <w:tcPr>
            <w:tcW w:w="5444" w:type="dxa"/>
            <w:gridSpan w:val="3"/>
            <w:vMerge w:val="restart"/>
            <w:vAlign w:val="center"/>
          </w:tcPr>
          <w:p>
            <w:pPr>
              <w:rPr>
                <w:rFonts w:hint="eastAsia" w:eastAsia="宋体"/>
                <w:lang w:eastAsia="zh-CN"/>
              </w:rPr>
            </w:pPr>
            <w:bookmarkStart w:id="29" w:name="审核范围"/>
            <w:r>
              <w:t>电子产品的研发、销售所涉及的能源管理活动</w:t>
            </w:r>
            <w:bookmarkEnd w:id="29"/>
            <w:r>
              <w:rPr>
                <w:rFonts w:hint="eastAsia"/>
                <w:lang w:eastAsia="zh-CN"/>
              </w:rPr>
              <w:t>；</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4" w:type="dxa"/>
            <w:vMerge w:val="continue"/>
            <w:vAlign w:val="center"/>
          </w:tcPr>
          <w:p/>
        </w:tc>
        <w:tc>
          <w:tcPr>
            <w:tcW w:w="5444" w:type="dxa"/>
            <w:gridSpan w:val="3"/>
            <w:vMerge w:val="continue"/>
            <w:vAlign w:val="center"/>
          </w:tcPr>
          <w:p/>
        </w:tc>
        <w:tc>
          <w:tcPr>
            <w:tcW w:w="3215" w:type="dxa"/>
            <w:vAlign w:val="center"/>
          </w:tcPr>
          <w:p>
            <w:bookmarkStart w:id="30" w:name="专业代码"/>
            <w:r>
              <w:t>2.10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center"/>
          </w:tcPr>
          <w:p>
            <w:pPr>
              <w:jc w:val="center"/>
            </w:pP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16</w:t>
            </w:r>
            <w:r>
              <w:rPr>
                <w:rFonts w:hint="eastAsia"/>
              </w:rPr>
              <w:t>日</w:t>
            </w:r>
          </w:p>
          <w:p>
            <w:pPr>
              <w:jc w:val="center"/>
            </w:pPr>
          </w:p>
        </w:tc>
        <w:tc>
          <w:tcPr>
            <w:tcW w:w="1883" w:type="dxa"/>
            <w:vAlign w:val="center"/>
          </w:tcPr>
          <w:p>
            <w:r>
              <w:rPr>
                <w:rFonts w:hint="eastAsia"/>
              </w:rPr>
              <w:t>管理体系运行已超过</w:t>
            </w:r>
            <w:r>
              <w:rPr>
                <w:rFonts w:hint="eastAsia"/>
                <w:lang w:val="en-US" w:eastAsia="zh-CN"/>
              </w:rPr>
              <w:t>6</w:t>
            </w:r>
            <w:r>
              <w:rPr>
                <w:rFonts w:hint="eastAsia"/>
              </w:rPr>
              <w:t>个月</w:t>
            </w:r>
          </w:p>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tbl>
      <w:tblPr>
        <w:tblStyle w:val="10"/>
        <w:tblpPr w:leftFromText="180" w:rightFromText="180" w:vertAnchor="text" w:horzAnchor="page" w:tblpX="1118" w:tblpY="291"/>
        <w:tblOverlap w:val="never"/>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447"/>
        <w:gridCol w:w="102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447"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02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成都尚光电子有限公司</w:t>
            </w:r>
            <w:r>
              <w:rPr>
                <w:rFonts w:hint="eastAsia"/>
                <w:lang w:val="en-US" w:eastAsia="zh-CN"/>
              </w:rPr>
              <w:t>/</w:t>
            </w:r>
            <w:r>
              <w:t>四川省成都经济技术开发区（龙泉驿区）车城东五路141号</w:t>
            </w:r>
          </w:p>
        </w:tc>
        <w:tc>
          <w:tcPr>
            <w:tcW w:w="2267" w:type="dxa"/>
          </w:tcPr>
          <w:p>
            <w:pPr>
              <w:rPr>
                <w:lang w:val="de-DE" w:eastAsia="ja-JP"/>
              </w:rPr>
            </w:pPr>
            <w:r>
              <w:t>四川省成都市青羊区光华东三路489号西环广场2栋605号</w:t>
            </w:r>
          </w:p>
        </w:tc>
        <w:tc>
          <w:tcPr>
            <w:tcW w:w="571" w:type="dxa"/>
            <w:vAlign w:val="center"/>
          </w:tcPr>
          <w:p>
            <w:pPr>
              <w:rPr>
                <w:rFonts w:hint="default" w:eastAsia="宋体"/>
                <w:lang w:val="en-US" w:eastAsia="zh-CN"/>
              </w:rPr>
            </w:pPr>
            <w:r>
              <w:rPr>
                <w:rFonts w:hint="eastAsia"/>
                <w:lang w:val="en-US" w:eastAsia="zh-CN"/>
              </w:rPr>
              <w:t>25</w:t>
            </w:r>
          </w:p>
        </w:tc>
        <w:tc>
          <w:tcPr>
            <w:tcW w:w="2447" w:type="dxa"/>
            <w:vAlign w:val="center"/>
          </w:tcPr>
          <w:p>
            <w:pPr>
              <w:rPr>
                <w:lang w:eastAsia="ja-JP"/>
              </w:rPr>
            </w:pPr>
            <w:r>
              <w:t>电子产品的研发、销售所涉及的能源管理活动</w:t>
            </w:r>
            <w:r>
              <w:rPr>
                <w:rFonts w:hint="eastAsia"/>
                <w:lang w:eastAsia="zh-CN"/>
              </w:rPr>
              <w:t>；</w:t>
            </w:r>
          </w:p>
        </w:tc>
        <w:tc>
          <w:tcPr>
            <w:tcW w:w="1025" w:type="dxa"/>
            <w:vAlign w:val="center"/>
          </w:tcPr>
          <w:p>
            <w:pPr>
              <w:rPr>
                <w:rFonts w:hint="default" w:eastAsia="宋体"/>
                <w:lang w:val="en-US" w:eastAsia="zh-CN"/>
              </w:rPr>
            </w:pPr>
            <w:r>
              <w:rPr>
                <w:rFonts w:hint="eastAsia"/>
                <w:lang w:val="en-US" w:eastAsia="zh-CN"/>
              </w:rPr>
              <w:t>GB/T23331-2020</w:t>
            </w:r>
          </w:p>
        </w:tc>
        <w:tc>
          <w:tcPr>
            <w:tcW w:w="668" w:type="dxa"/>
            <w:shd w:val="clear" w:color="auto" w:fill="FFFFFF"/>
          </w:tcPr>
          <w:p>
            <w:r>
              <w:rPr>
                <w:rFonts w:hint="eastAsia"/>
              </w:rPr>
              <w:t>☐</w:t>
            </w:r>
          </w:p>
        </w:tc>
      </w:tr>
    </w:tbl>
    <w:p>
      <w:pPr>
        <w:rPr>
          <w:lang w:eastAsia="ja-JP"/>
        </w:rPr>
      </w:pPr>
      <w:r>
        <w:rPr>
          <w:rFonts w:hint="eastAsia"/>
        </w:rPr>
        <w:t>本次审核</w:t>
      </w:r>
      <w:r>
        <w:t>覆盖以下各场所/场地及其对应的范围:</w:t>
      </w:r>
    </w:p>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李俊强</w:t>
            </w:r>
          </w:p>
        </w:tc>
        <w:tc>
          <w:tcPr>
            <w:tcW w:w="1089" w:type="dxa"/>
            <w:vAlign w:val="center"/>
          </w:tcPr>
          <w:p>
            <w:r>
              <w:t>组员</w:t>
            </w:r>
          </w:p>
        </w:tc>
        <w:tc>
          <w:tcPr>
            <w:tcW w:w="711" w:type="dxa"/>
            <w:vAlign w:val="center"/>
          </w:tcPr>
          <w:p>
            <w:r>
              <w:t>男</w:t>
            </w:r>
          </w:p>
        </w:tc>
        <w:tc>
          <w:tcPr>
            <w:tcW w:w="3870" w:type="dxa"/>
            <w:vAlign w:val="center"/>
          </w:tcPr>
          <w:p>
            <w:r>
              <w:t>ISC-JSZJ-459</w:t>
            </w:r>
          </w:p>
          <w:p>
            <w:r>
              <w:t>成都擎云星通科技有限公司</w:t>
            </w:r>
          </w:p>
        </w:tc>
        <w:tc>
          <w:tcPr>
            <w:tcW w:w="2179" w:type="dxa"/>
            <w:vAlign w:val="center"/>
          </w:tcPr>
          <w:p>
            <w:r>
              <w:t>2.10</w:t>
            </w:r>
          </w:p>
        </w:tc>
      </w:tr>
    </w:tbl>
    <w:p/>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lang w:eastAsia="zh-CN"/>
        </w:rPr>
        <w:t>☑</w:t>
      </w:r>
      <w:r>
        <w:rPr>
          <w:rFonts w:hint="eastAsia"/>
        </w:rPr>
        <w:t>EnMS□FSMS□HACCP的附件）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6" w:hRule="exact"/>
          <w:jc w:val="center"/>
        </w:trPr>
        <w:tc>
          <w:tcPr>
            <w:tcW w:w="1842" w:type="dxa"/>
            <w:vAlign w:val="center"/>
          </w:tcPr>
          <w:p>
            <w:pPr>
              <w:jc w:val="center"/>
            </w:pPr>
            <w:r>
              <w:rPr>
                <w:rFonts w:hint="eastAsia"/>
              </w:rPr>
              <w:t>审核组长签字</w:t>
            </w:r>
          </w:p>
        </w:tc>
        <w:tc>
          <w:tcPr>
            <w:tcW w:w="2764" w:type="dxa"/>
            <w:tcMar>
              <w:left w:w="113" w:type="dxa"/>
            </w:tcMar>
            <w:vAlign w:val="center"/>
          </w:tcPr>
          <w:p>
            <w:pPr>
              <w:jc w:val="center"/>
            </w:pPr>
          </w:p>
          <w:p>
            <w:pPr>
              <w:jc w:val="center"/>
            </w:pPr>
            <w:r>
              <w:drawing>
                <wp:anchor distT="0" distB="0" distL="114300" distR="114300" simplePos="0" relativeHeight="251661312" behindDoc="1" locked="0" layoutInCell="1" allowOverlap="1">
                  <wp:simplePos x="0" y="0"/>
                  <wp:positionH relativeFrom="column">
                    <wp:posOffset>-603885</wp:posOffset>
                  </wp:positionH>
                  <wp:positionV relativeFrom="paragraph">
                    <wp:posOffset>-982345</wp:posOffset>
                  </wp:positionV>
                  <wp:extent cx="722630" cy="504190"/>
                  <wp:effectExtent l="0" t="0" r="1270" b="3810"/>
                  <wp:wrapTight wrapText="bothSides">
                    <wp:wrapPolygon>
                      <wp:start x="0" y="0"/>
                      <wp:lineTo x="0" y="21219"/>
                      <wp:lineTo x="21258" y="21219"/>
                      <wp:lineTo x="21258"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lum contrast="84000"/>
                          </a:blip>
                          <a:stretch>
                            <a:fillRect/>
                          </a:stretch>
                        </pic:blipFill>
                        <pic:spPr>
                          <a:xfrm>
                            <a:off x="2506980" y="5412105"/>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tc>
        <w:tc>
          <w:tcPr>
            <w:tcW w:w="2764" w:type="dxa"/>
            <w:tcMar>
              <w:left w:w="113" w:type="dxa"/>
            </w:tcMar>
            <w:vAlign w:val="center"/>
          </w:tcPr>
          <w:p>
            <w:pPr>
              <w:jc w:val="center"/>
            </w:pPr>
            <w:r>
              <w:rPr>
                <w:rFonts w:hint="eastAsia"/>
              </w:rPr>
              <w:t>日期</w:t>
            </w:r>
          </w:p>
        </w:tc>
        <w:tc>
          <w:tcPr>
            <w:tcW w:w="2766" w:type="dxa"/>
            <w:tcMar>
              <w:left w:w="113" w:type="dxa"/>
            </w:tcMar>
            <w:vAlign w:val="center"/>
          </w:tcPr>
          <w:p>
            <w:pPr>
              <w:jc w:val="center"/>
              <w:rPr>
                <w:rFonts w:hint="default" w:ascii="宋体" w:eastAsia="宋体"/>
                <w:b/>
                <w:color w:val="0000FF"/>
                <w:szCs w:val="21"/>
                <w:lang w:val="en-US" w:eastAsia="zh-CN"/>
              </w:rPr>
            </w:pPr>
            <w:r>
              <w:rPr>
                <w:rFonts w:hint="eastAsia" w:ascii="宋体"/>
                <w:b/>
                <w:color w:val="0000FF"/>
                <w:szCs w:val="21"/>
                <w:lang w:val="en-US" w:eastAsia="zh-CN"/>
              </w:rPr>
              <w:t>2021.12.23</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pPr>
        <w:rPr>
          <w:rFonts w:eastAsia="微软雅黑"/>
          <w:sz w:val="20"/>
          <w:szCs w:val="20"/>
        </w:rPr>
      </w:pPr>
      <w:r>
        <w:rPr>
          <w:rFonts w:hint="eastAsia"/>
        </w:rPr>
        <w:t xml:space="preserve">5. 对子证书/证书附件要求的组织，除在末次会议上确定注册范围外，还须附上子证书/证书附件的文字表达。(可另附页)  </w:t>
      </w:r>
    </w:p>
    <w:p>
      <w:pPr>
        <w:shd w:val="clear" w:color="auto" w:fill="EBF1DE" w:themeFill="accent3" w:themeFillTint="32"/>
      </w:pPr>
    </w:p>
    <w:p>
      <w:pPr>
        <w:shd w:val="clear" w:color="auto" w:fill="EBF1DE" w:themeFill="accent3" w:themeFillTint="32"/>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rPr>
                      <w:rFonts w:hint="eastAsia"/>
                    </w:rPr>
                    <w:t>活动、产品和服务</w:t>
                  </w:r>
                  <w:r>
                    <w:rPr>
                      <w:rFonts w:hint="eastAsia"/>
                      <w:lang w:eastAsia="zh-CN"/>
                    </w:rPr>
                    <w:t>☑</w:t>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节约资源□满足限额要求□主要用能设备管理□能耗测量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□生产/服务过程□能效监测□设备维修□人员培训□其他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keepNext w:val="0"/>
              <w:keepLines w:val="0"/>
              <w:pageBreakBefore w:val="0"/>
              <w:kinsoku/>
              <w:wordWrap/>
              <w:overflowPunct/>
              <w:topLinePunct w:val="0"/>
              <w:bidi w:val="0"/>
              <w:snapToGrid/>
              <w:spacing w:line="360" w:lineRule="auto"/>
              <w:textAlignment w:val="auto"/>
              <w:rPr>
                <w:rFonts w:hint="eastAsia" w:ascii="Times New Roman" w:hAnsi="Times New Roman" w:eastAsia="宋体" w:cs="Times New Roman"/>
                <w:u w:val="single"/>
              </w:rPr>
            </w:pPr>
            <w:r>
              <w:rPr>
                <w:rFonts w:hint="eastAsia"/>
              </w:rPr>
              <w:t>最高管理者制定了文件化的管理体系方针：</w:t>
            </w:r>
            <w:r>
              <w:rPr>
                <w:rFonts w:hint="eastAsia" w:ascii="Times New Roman" w:hAnsi="Times New Roman" w:eastAsia="宋体" w:cs="Times New Roman"/>
                <w:u w:val="single"/>
              </w:rPr>
              <w:t>遵守法规</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rPr>
              <w:t>清洁生产</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lang w:val="en-US" w:eastAsia="zh-CN"/>
              </w:rPr>
              <w:t>节能降耗</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rPr>
              <w:t>创新改造</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lang w:val="en-US" w:eastAsia="zh-CN"/>
              </w:rPr>
              <w:t>能耗限额、持续改进。</w:t>
            </w: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EnMS的主管部门是——</w:t>
            </w:r>
            <w:r>
              <w:rPr>
                <w:rFonts w:hint="eastAsia"/>
                <w:lang w:eastAsia="zh-CN"/>
              </w:rPr>
              <w:t>☑</w:t>
            </w:r>
            <w:r>
              <w:rPr>
                <w:rFonts w:hint="eastAsia"/>
              </w:rPr>
              <w:t>能源管理团队□</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lang w:val="en-US" w:eastAsia="zh-CN"/>
              </w:rPr>
              <w:t>龚莉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停电的风险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制定应急预案</w:t>
                  </w:r>
                </w:p>
              </w:tc>
              <w:tc>
                <w:tcPr>
                  <w:tcW w:w="1717" w:type="dxa"/>
                </w:tcPr>
                <w:p>
                  <w:pPr>
                    <w:shd w:val="clear" w:color="auto" w:fill="EBF1DE" w:themeFill="accent3" w:themeFillTint="32"/>
                    <w:rPr>
                      <w:rFonts w:hint="eastAsia"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tcPr>
                <w:p>
                  <w:pPr>
                    <w:shd w:val="clear" w:color="auto" w:fill="EBF1DE" w:themeFill="accent3" w:themeFillTint="32"/>
                    <w:rPr>
                      <w:rFonts w:hint="default" w:eastAsia="宋体"/>
                      <w:lang w:val="en-US" w:eastAsia="zh-CN"/>
                    </w:rPr>
                  </w:pPr>
                </w:p>
              </w:tc>
              <w:tc>
                <w:tcPr>
                  <w:tcW w:w="1717" w:type="dxa"/>
                </w:tcPr>
                <w:p>
                  <w:pPr>
                    <w:shd w:val="clear" w:color="auto" w:fill="EBF1DE" w:themeFill="accent3" w:themeFillTint="3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□蒸汽□天然气□燃料油□燃料气</w:t>
            </w:r>
            <w:r>
              <w:rPr>
                <w:rFonts w:hint="eastAsia"/>
                <w:lang w:eastAsia="zh-CN"/>
              </w:rPr>
              <w:t>☑</w:t>
            </w:r>
            <w:r>
              <w:rPr>
                <w:rFonts w:hint="eastAsia"/>
              </w:rPr>
              <w:t>电力□氮气□风□新鲜水□各种品质水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lang w:eastAsia="zh-CN"/>
              </w:rPr>
              <w:t>☑</w:t>
            </w:r>
            <w:r>
              <w:rPr>
                <w:rFonts w:hint="eastAsia"/>
              </w:rPr>
              <w:t>单位产品综合能耗</w:t>
            </w:r>
            <w:bookmarkStart w:id="34" w:name="_GoBack"/>
            <w:bookmarkEnd w:id="34"/>
            <w:r>
              <w:rPr>
                <w:rFonts w:hint="eastAsia"/>
                <w:lang w:eastAsia="zh-CN"/>
              </w:rPr>
              <w:t>☑</w:t>
            </w:r>
            <w:r>
              <w:rPr>
                <w:rFonts w:hint="eastAsia"/>
              </w:rPr>
              <w:t>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t>□能源评审报告编号/日期：</w:t>
            </w:r>
            <w:r>
              <w:rPr>
                <w:rFonts w:hint="eastAsia"/>
                <w:lang w:val="en-US" w:eastAsia="zh-CN"/>
              </w:rPr>
              <w:t>2021.12.6</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lang w:eastAsia="zh-CN"/>
              </w:rPr>
              <w:t>☑</w:t>
            </w:r>
            <w:r>
              <w:rPr>
                <w:rFonts w:hint="eastAsia"/>
              </w:rPr>
              <w:t>能源计量管理</w:t>
            </w:r>
            <w:r>
              <w:rPr>
                <w:rFonts w:hint="eastAsia"/>
                <w:lang w:eastAsia="zh-CN"/>
              </w:rPr>
              <w:t>☑</w:t>
            </w:r>
            <w:r>
              <w:rPr>
                <w:rFonts w:hint="eastAsia"/>
              </w:rPr>
              <w:t>使用节能设备□主要耗能设备识别及能效测试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jc w:val="left"/>
                    <w:rPr>
                      <w:rFonts w:hint="default" w:eastAsia="宋体"/>
                      <w:vertAlign w:val="superscript"/>
                      <w:lang w:val="en-US" w:eastAsia="zh-CN"/>
                    </w:rPr>
                  </w:pPr>
                  <w:r>
                    <w:rPr>
                      <w:rFonts w:hint="eastAsia"/>
                      <w:lang w:val="en-US" w:eastAsia="zh-CN"/>
                    </w:rPr>
                    <w:t>每月耗电</w:t>
                  </w:r>
                  <w:r>
                    <w:rPr>
                      <w:rFonts w:hint="eastAsia" w:ascii="宋体" w:hAnsi="宋体" w:eastAsia="宋体" w:cs="宋体"/>
                      <w:lang w:val="en-US" w:eastAsia="zh-CN"/>
                    </w:rPr>
                    <w:t>≦</w:t>
                  </w:r>
                  <w:r>
                    <w:rPr>
                      <w:rFonts w:hint="eastAsia" w:ascii="宋体" w:hAnsi="宋体" w:cs="宋体"/>
                      <w:lang w:val="en-US" w:eastAsia="zh-CN"/>
                    </w:rPr>
                    <w:t>2</w:t>
                  </w:r>
                  <w:r>
                    <w:rPr>
                      <w:rFonts w:hint="eastAsia"/>
                      <w:lang w:val="en-US" w:eastAsia="zh-CN"/>
                    </w:rPr>
                    <w:t>.99kwh/m</w:t>
                  </w:r>
                  <w:r>
                    <w:rPr>
                      <w:rFonts w:hint="eastAsia"/>
                      <w:vertAlign w:val="superscript"/>
                      <w:lang w:val="en-US" w:eastAsia="zh-CN"/>
                    </w:rPr>
                    <w:t>2</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平时注意关机、空调设定温度；</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2.09kwh/</w:t>
                  </w:r>
                  <w:r>
                    <w:rPr>
                      <w:rFonts w:hint="eastAsia"/>
                      <w:lang w:val="en-US" w:eastAsia="zh-CN"/>
                    </w:rPr>
                    <w:t>m</w:t>
                  </w:r>
                  <w:r>
                    <w:rPr>
                      <w:rFonts w:hint="eastAsia"/>
                      <w:vertAlign w:val="superscript"/>
                      <w:lang w:val="en-US" w:eastAsia="zh-CN"/>
                    </w:rPr>
                    <w:t>2</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331.23</w:t>
            </w:r>
            <w:r>
              <w:rPr>
                <w:rFonts w:hint="eastAsia"/>
              </w:rPr>
              <w:t>平方米；</w:t>
            </w:r>
            <w:r>
              <w:rPr>
                <w:rFonts w:hint="eastAsia"/>
                <w:lang w:val="en-US" w:eastAsia="zh-CN"/>
              </w:rPr>
              <w:t>办公室3</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ascii="Times New Roman" w:hAnsi="Times New Roman" w:eastAsia="宋体" w:cs="Times New Roman"/>
                <w:u w:val="single"/>
                <w:lang w:val="en-US" w:eastAsia="zh-CN"/>
              </w:rPr>
              <w:t>螺丝刀、电表</w:t>
            </w:r>
            <w:r>
              <w:rPr>
                <w:rFonts w:hint="eastAsia" w:ascii="Times New Roman" w:hAnsi="Times New Roman" w:eastAsia="宋体" w:cs="Times New Roman"/>
                <w:u w:val="single"/>
              </w:rPr>
              <w:t>（</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ascii="Times New Roman" w:hAnsi="Times New Roman" w:eastAsia="宋体" w:cs="Times New Roman"/>
                <w:u w:val="single"/>
                <w:lang w:val="en-US" w:eastAsia="zh-CN"/>
              </w:rPr>
              <w:t>空调、电脑、照明灯</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能源计量器具有：</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r>
              <w:rPr>
                <w:rFonts w:hint="eastAsia"/>
                <w:u w:val="single"/>
                <w:lang w:val="en-US" w:eastAsia="zh-CN"/>
              </w:rPr>
              <w:t>电表有物业管理。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u w:val="single"/>
                <w:lang w:val="en-US" w:eastAsia="zh-CN"/>
              </w:rPr>
              <w:t>地方能源法规。</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000000" w:themeColor="text1"/>
                <w:lang w:eastAsia="zh-CN"/>
              </w:rPr>
              <w:t>☑</w:t>
            </w:r>
            <w:r>
              <w:rPr>
                <w:rFonts w:hint="eastAsia"/>
                <w:color w:val="000000" w:themeColor="text1"/>
              </w:rPr>
              <w:t>操作规程</w:t>
            </w:r>
            <w:r>
              <w:rPr>
                <w:rFonts w:hint="eastAsia" w:ascii="Wingdings" w:hAnsi="Wingdings"/>
                <w:color w:val="000000" w:themeColor="text1"/>
                <w:lang w:eastAsia="zh-CN"/>
              </w:rPr>
              <w:t>☑</w:t>
            </w:r>
            <w:r>
              <w:rPr>
                <w:rFonts w:hint="eastAsia"/>
                <w:color w:val="000000" w:themeColor="text1"/>
              </w:rPr>
              <w:t>作业文件</w:t>
            </w:r>
            <w:r>
              <w:rPr>
                <w:rFonts w:hint="eastAsia" w:ascii="Wingdings" w:hAnsi="Wingdings"/>
                <w:color w:val="000000" w:themeColor="text1"/>
                <w:lang w:eastAsia="zh-CN"/>
              </w:rPr>
              <w:t>□</w:t>
            </w:r>
            <w:r>
              <w:rPr>
                <w:rFonts w:hint="eastAsia"/>
                <w:color w:val="000000" w:themeColor="text1"/>
              </w:rPr>
              <w:t>工艺卡片</w:t>
            </w:r>
            <w:r>
              <w:rPr>
                <w:rFonts w:hint="eastAsia" w:ascii="Wingdings" w:hAnsi="Wingdings"/>
                <w:color w:val="000000" w:themeColor="text1"/>
                <w:lang w:eastAsia="zh-CN"/>
              </w:rPr>
              <w:t>☑</w:t>
            </w:r>
            <w:r>
              <w:rPr>
                <w:rFonts w:hint="eastAsia"/>
                <w:color w:val="000000" w:themeColor="text1"/>
              </w:rPr>
              <w:t>接收准则</w:t>
            </w:r>
            <w:r>
              <w:rPr>
                <w:rFonts w:hint="eastAsia" w:ascii="Wingdings" w:hAnsi="Wingdings"/>
                <w:color w:val="000000" w:themeColor="text1"/>
                <w:lang w:eastAsia="zh-CN"/>
              </w:rPr>
              <w:t>☑</w:t>
            </w:r>
            <w:r>
              <w:rPr>
                <w:rFonts w:hint="eastAsia"/>
                <w:color w:val="000000" w:themeColor="text1"/>
              </w:rPr>
              <w:t>工艺流程图</w:t>
            </w:r>
            <w:r>
              <w:rPr>
                <w:rFonts w:hint="eastAsia" w:ascii="Wingdings" w:hAnsi="Wingdings"/>
                <w:color w:val="000000" w:themeColor="text1"/>
                <w:lang w:eastAsia="zh-CN"/>
              </w:rPr>
              <w:t>□</w:t>
            </w:r>
            <w:r>
              <w:rPr>
                <w:rFonts w:hint="eastAsia"/>
                <w:color w:val="000000" w:themeColor="text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能源采购</w:t>
            </w:r>
            <w:r>
              <w:rPr>
                <w:rFonts w:hint="eastAsia" w:ascii="Wingdings" w:hAnsi="Wingdings"/>
                <w:lang w:eastAsia="zh-CN"/>
              </w:rPr>
              <w:t>☑</w:t>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t>□</w:t>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pPr>
                  <w:r>
                    <w:rPr>
                      <w:rFonts w:hint="eastAsia"/>
                      <w:lang w:val="en-US" w:eastAsia="zh-CN"/>
                    </w:rPr>
                    <w:t>平时注意关机、空调设定温度</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6</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6</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tbl>
      <w:tblPr>
        <w:tblStyle w:val="10"/>
        <w:tblpPr w:leftFromText="180" w:rightFromText="180" w:vertAnchor="text" w:horzAnchor="page" w:tblpX="1192" w:tblpY="291"/>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1676"/>
        <w:gridCol w:w="824"/>
        <w:gridCol w:w="824"/>
        <w:gridCol w:w="824"/>
        <w:gridCol w:w="824"/>
        <w:gridCol w:w="824"/>
        <w:gridCol w:w="824"/>
        <w:gridCol w:w="824"/>
        <w:gridCol w:w="824"/>
        <w:gridCol w:w="824"/>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676"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24"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824"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824"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824"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824"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824"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824"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824"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824"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826"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76"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2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4"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3</w:t>
            </w:r>
          </w:p>
        </w:tc>
        <w:tc>
          <w:tcPr>
            <w:tcW w:w="82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6"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76"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6"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76"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24"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824"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824"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824"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824" w:type="dxa"/>
            <w:shd w:val="clear" w:color="auto" w:fill="EBF1DE" w:themeFill="accent3" w:themeFillTint="32"/>
            <w:vAlign w:val="center"/>
          </w:tcPr>
          <w:p>
            <w:pPr>
              <w:shd w:val="clear" w:color="auto" w:fill="EBF1DE" w:themeFill="accent3" w:themeFillTint="32"/>
            </w:pPr>
            <w:r>
              <w:rPr>
                <w:rFonts w:hint="eastAsia"/>
              </w:rPr>
              <w:t>7.2</w:t>
            </w:r>
          </w:p>
        </w:tc>
        <w:tc>
          <w:tcPr>
            <w:tcW w:w="824" w:type="dxa"/>
            <w:shd w:val="clear" w:color="auto" w:fill="EBF1DE" w:themeFill="accent3" w:themeFillTint="32"/>
            <w:vAlign w:val="center"/>
          </w:tcPr>
          <w:p>
            <w:pPr>
              <w:shd w:val="clear" w:color="auto" w:fill="EBF1DE" w:themeFill="accent3" w:themeFillTint="32"/>
            </w:pPr>
            <w:r>
              <w:rPr>
                <w:rFonts w:hint="eastAsia"/>
              </w:rPr>
              <w:t>7.3</w:t>
            </w:r>
          </w:p>
        </w:tc>
        <w:tc>
          <w:tcPr>
            <w:tcW w:w="824" w:type="dxa"/>
            <w:shd w:val="clear" w:color="auto" w:fill="EBF1DE" w:themeFill="accent3" w:themeFillTint="32"/>
            <w:vAlign w:val="center"/>
          </w:tcPr>
          <w:p>
            <w:pPr>
              <w:shd w:val="clear" w:color="auto" w:fill="EBF1DE" w:themeFill="accent3" w:themeFillTint="32"/>
            </w:pPr>
            <w:r>
              <w:rPr>
                <w:rFonts w:hint="eastAsia"/>
              </w:rPr>
              <w:t>7.4</w:t>
            </w:r>
          </w:p>
        </w:tc>
        <w:tc>
          <w:tcPr>
            <w:tcW w:w="824" w:type="dxa"/>
            <w:shd w:val="clear" w:color="auto" w:fill="EBF1DE" w:themeFill="accent3" w:themeFillTint="32"/>
            <w:vAlign w:val="center"/>
          </w:tcPr>
          <w:p>
            <w:pPr>
              <w:shd w:val="clear" w:color="auto" w:fill="EBF1DE" w:themeFill="accent3" w:themeFillTint="32"/>
            </w:pPr>
            <w:r>
              <w:rPr>
                <w:rFonts w:hint="eastAsia"/>
              </w:rPr>
              <w:t>7.5</w:t>
            </w:r>
          </w:p>
        </w:tc>
        <w:tc>
          <w:tcPr>
            <w:tcW w:w="824"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826"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76"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2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4"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82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6"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76"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24" w:type="dxa"/>
            <w:shd w:val="clear" w:color="auto" w:fill="EBF1DE" w:themeFill="accent3" w:themeFillTint="32"/>
            <w:vAlign w:val="center"/>
          </w:tcPr>
          <w:p>
            <w:pPr>
              <w:shd w:val="clear" w:color="auto" w:fill="EBF1DE" w:themeFill="accent3" w:themeFillTint="32"/>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6"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676"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24" w:type="dxa"/>
            <w:shd w:val="clear" w:color="auto" w:fill="EBF1DE" w:themeFill="accent3" w:themeFillTint="32"/>
            <w:vAlign w:val="center"/>
          </w:tcPr>
          <w:p>
            <w:pPr>
              <w:shd w:val="clear" w:color="auto" w:fill="EBF1DE" w:themeFill="accent3" w:themeFillTint="32"/>
            </w:pPr>
            <w:r>
              <w:rPr>
                <w:rFonts w:hint="eastAsia"/>
              </w:rPr>
              <w:t>8.3</w:t>
            </w:r>
          </w:p>
        </w:tc>
        <w:tc>
          <w:tcPr>
            <w:tcW w:w="824"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824"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824"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824"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6"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76"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2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4"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82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6"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76"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4" w:type="dxa"/>
            <w:shd w:val="clear" w:color="auto" w:fill="EBF1DE" w:themeFill="accent3" w:themeFillTint="32"/>
            <w:vAlign w:val="center"/>
          </w:tcPr>
          <w:p>
            <w:pPr>
              <w:shd w:val="clear" w:color="auto" w:fill="EBF1DE" w:themeFill="accent3" w:themeFillTint="32"/>
              <w:rPr>
                <w:lang w:eastAsia="ja-JP"/>
              </w:rPr>
            </w:pPr>
          </w:p>
        </w:tc>
        <w:tc>
          <w:tcPr>
            <w:tcW w:w="826"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AEF7E0A"/>
    <w:rsid w:val="610D20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left="420" w:leftChars="200"/>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qFormat/>
    <w:uiPriority w:val="0"/>
    <w:pPr>
      <w:spacing w:after="120" w:afterLines="0"/>
      <w:ind w:left="420" w:leftChars="200" w:firstLine="420" w:firstLineChars="200"/>
    </w:pPr>
    <w:rPr>
      <w:rFonts w:ascii="Times New Roman" w:hAnsi="Times New Roman"/>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6"/>
    <w:qFormat/>
    <w:uiPriority w:val="99"/>
    <w:rPr>
      <w:rFonts w:ascii="Times New Roman" w:hAnsi="Times New Roman" w:eastAsia="宋体" w:cs="Times New Roman"/>
      <w:sz w:val="18"/>
      <w:szCs w:val="18"/>
    </w:rPr>
  </w:style>
  <w:style w:type="character" w:customStyle="1" w:styleId="16">
    <w:name w:val="页脚 Char"/>
    <w:basedOn w:val="12"/>
    <w:link w:val="5"/>
    <w:qFormat/>
    <w:uiPriority w:val="99"/>
    <w:rPr>
      <w:rFonts w:ascii="Times New Roman" w:hAnsi="Times New Roman" w:eastAsia="宋体" w:cs="Times New Roman"/>
      <w:sz w:val="18"/>
      <w:szCs w:val="18"/>
    </w:rPr>
  </w:style>
  <w:style w:type="character" w:customStyle="1" w:styleId="17">
    <w:name w:val="批注框文本 Char"/>
    <w:basedOn w:val="12"/>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2</TotalTime>
  <ScaleCrop>false</ScaleCrop>
  <LinksUpToDate>false</LinksUpToDate>
  <CharactersWithSpaces>26902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2022-01-02T13:04:16Z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