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57"/>
        <w:gridCol w:w="1073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0" w:type="dxa"/>
            <w:vAlign w:val="center"/>
          </w:tcPr>
          <w:p>
            <w:pPr>
              <w:rPr>
                <w:rFonts w:hint="default"/>
                <w:sz w:val="24"/>
                <w:szCs w:val="24"/>
                <w:lang w:val="en-US"/>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cs="Times New Roman"/>
                <w:sz w:val="24"/>
                <w:szCs w:val="24"/>
                <w:lang w:val="en-US" w:eastAsia="zh-CN"/>
              </w:rPr>
              <w:t>龚莉</w:t>
            </w:r>
            <w:r>
              <w:rPr>
                <w:rFonts w:hint="eastAsia" w:ascii="Times New Roman" w:hAnsi="Times New Roman" w:eastAsia="宋体" w:cs="Times New Roman"/>
                <w:sz w:val="24"/>
                <w:szCs w:val="24"/>
              </w:rPr>
              <w:t xml:space="preserve"> </w:t>
            </w:r>
            <w:r>
              <w:rPr>
                <w:rFonts w:hint="eastAsia" w:cs="Times New Roman"/>
                <w:sz w:val="24"/>
                <w:szCs w:val="24"/>
                <w:lang w:val="en-US" w:eastAsia="zh-CN"/>
              </w:rPr>
              <w:t xml:space="preserve">           </w:t>
            </w:r>
            <w:r>
              <w:rPr>
                <w:rFonts w:hint="eastAsia"/>
                <w:sz w:val="24"/>
                <w:szCs w:val="24"/>
              </w:rPr>
              <w:t>陪同人员：</w:t>
            </w:r>
            <w:r>
              <w:rPr>
                <w:rFonts w:hint="eastAsia"/>
                <w:sz w:val="24"/>
                <w:szCs w:val="24"/>
                <w:highlight w:val="none"/>
                <w:lang w:val="en-US" w:eastAsia="zh-CN"/>
              </w:rPr>
              <w:t>周翔</w:t>
            </w:r>
          </w:p>
        </w:tc>
        <w:tc>
          <w:tcPr>
            <w:tcW w:w="8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57" w:type="dxa"/>
            <w:vMerge w:val="continue"/>
            <w:vAlign w:val="center"/>
          </w:tcPr>
          <w:p/>
        </w:tc>
        <w:tc>
          <w:tcPr>
            <w:tcW w:w="10730" w:type="dxa"/>
            <w:vAlign w:val="center"/>
          </w:tcPr>
          <w:p>
            <w:pPr>
              <w:spacing w:before="120"/>
            </w:pPr>
            <w:r>
              <w:rPr>
                <w:rFonts w:hint="eastAsia"/>
                <w:sz w:val="24"/>
                <w:szCs w:val="24"/>
              </w:rPr>
              <w:t>审核员：</w:t>
            </w:r>
            <w:r>
              <w:rPr>
                <w:rFonts w:hint="eastAsia"/>
                <w:sz w:val="24"/>
                <w:szCs w:val="24"/>
                <w:lang w:val="en-US" w:eastAsia="zh-CN"/>
              </w:rPr>
              <w:t xml:space="preserve">周涛 </w:t>
            </w:r>
            <w:r>
              <w:rPr>
                <w:sz w:val="24"/>
                <w:szCs w:val="24"/>
              </w:rPr>
              <w:t xml:space="preserve">     </w:t>
            </w:r>
            <w:r>
              <w:rPr>
                <w:rFonts w:hint="eastAsia"/>
                <w:sz w:val="24"/>
                <w:szCs w:val="24"/>
              </w:rPr>
              <w:t>审核时间：</w:t>
            </w:r>
            <w:bookmarkStart w:id="0" w:name="审核日期"/>
            <w:r>
              <w:rPr>
                <w:rFonts w:hint="eastAsia" w:ascii="Times New Roman" w:hAnsi="Times New Roman" w:cs="Times New Roman"/>
                <w:sz w:val="24"/>
                <w:szCs w:val="24"/>
              </w:rPr>
              <w:t>2021年1</w:t>
            </w:r>
            <w:r>
              <w:rPr>
                <w:rFonts w:hint="eastAsia" w:cs="Times New Roman"/>
                <w:sz w:val="24"/>
                <w:szCs w:val="24"/>
                <w:lang w:val="en-US" w:eastAsia="zh-CN"/>
              </w:rPr>
              <w:t>2</w:t>
            </w:r>
            <w:r>
              <w:rPr>
                <w:rFonts w:hint="eastAsia" w:ascii="Times New Roman" w:hAnsi="Times New Roman" w:cs="Times New Roman"/>
                <w:sz w:val="24"/>
                <w:szCs w:val="24"/>
              </w:rPr>
              <w:t>月</w:t>
            </w:r>
            <w:r>
              <w:rPr>
                <w:rFonts w:hint="eastAsia" w:cs="Times New Roman"/>
                <w:sz w:val="24"/>
                <w:szCs w:val="24"/>
                <w:lang w:val="en-US" w:eastAsia="zh-CN"/>
              </w:rPr>
              <w:t>20</w:t>
            </w:r>
            <w:r>
              <w:rPr>
                <w:rFonts w:hint="eastAsia" w:ascii="Times New Roman" w:hAnsi="Times New Roman" w:cs="Times New Roman"/>
                <w:sz w:val="24"/>
                <w:szCs w:val="24"/>
              </w:rPr>
              <w:t xml:space="preserve">日 </w:t>
            </w:r>
            <w:bookmarkEnd w:id="0"/>
          </w:p>
        </w:tc>
        <w:tc>
          <w:tcPr>
            <w:tcW w:w="8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57" w:type="dxa"/>
            <w:vMerge w:val="continue"/>
            <w:vAlign w:val="center"/>
          </w:tcPr>
          <w:p/>
        </w:tc>
        <w:tc>
          <w:tcPr>
            <w:tcW w:w="10730" w:type="dxa"/>
            <w:vAlign w:val="center"/>
          </w:tcPr>
          <w:p>
            <w:pPr>
              <w:spacing w:line="300" w:lineRule="exact"/>
              <w:rPr>
                <w:sz w:val="24"/>
                <w:szCs w:val="24"/>
              </w:rPr>
            </w:pPr>
            <w:r>
              <w:rPr>
                <w:rFonts w:hint="eastAsia"/>
                <w:sz w:val="24"/>
                <w:szCs w:val="24"/>
              </w:rPr>
              <w:t>审核条款：</w:t>
            </w:r>
            <w:r>
              <w:rPr>
                <w:rFonts w:hint="eastAsia" w:ascii="宋体" w:hAnsi="宋体" w:eastAsia="宋体" w:cs="Times New Roman"/>
                <w:b/>
                <w:bCs/>
                <w:sz w:val="21"/>
                <w:szCs w:val="21"/>
                <w:lang w:val="en-US" w:eastAsia="zh-CN"/>
              </w:rPr>
              <w:t>EnMS：</w:t>
            </w:r>
            <w:r>
              <w:rPr>
                <w:rFonts w:hint="eastAsia" w:ascii="宋体" w:hAnsi="宋体" w:cs="Times New Roman"/>
                <w:b/>
                <w:bCs/>
                <w:sz w:val="21"/>
                <w:szCs w:val="21"/>
                <w:lang w:val="en-US" w:eastAsia="zh-CN"/>
              </w:rPr>
              <w:t>4</w:t>
            </w:r>
            <w:r>
              <w:rPr>
                <w:rFonts w:hint="eastAsia" w:ascii="宋体" w:hAnsi="宋体" w:eastAsia="宋体" w:cs="Times New Roman"/>
                <w:b/>
                <w:bCs/>
                <w:sz w:val="21"/>
                <w:szCs w:val="21"/>
              </w:rPr>
              <w:t>.</w:t>
            </w:r>
            <w:r>
              <w:rPr>
                <w:rFonts w:hint="eastAsia" w:ascii="宋体" w:hAnsi="宋体" w:cs="Times New Roman"/>
                <w:b/>
                <w:bCs/>
                <w:sz w:val="21"/>
                <w:szCs w:val="21"/>
                <w:lang w:val="en-US" w:eastAsia="zh-CN"/>
              </w:rPr>
              <w:t>1</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4</w:t>
            </w:r>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4.3/4.4/5</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1</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w:t>
            </w:r>
            <w:r>
              <w:rPr>
                <w:rFonts w:hint="eastAsia" w:ascii="宋体" w:hAnsi="宋体" w:cs="Times New Roman"/>
                <w:b/>
                <w:bCs/>
                <w:sz w:val="21"/>
                <w:szCs w:val="21"/>
                <w:lang w:val="en-US" w:eastAsia="zh-CN"/>
              </w:rPr>
              <w:t>2</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w:t>
            </w:r>
            <w:r>
              <w:rPr>
                <w:rFonts w:hint="eastAsia" w:ascii="宋体" w:hAnsi="宋体" w:cs="Times New Roman"/>
                <w:b/>
                <w:bCs/>
                <w:sz w:val="21"/>
                <w:szCs w:val="21"/>
                <w:lang w:val="en-US" w:eastAsia="zh-CN"/>
              </w:rPr>
              <w:t>3</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6.1/7</w:t>
            </w:r>
            <w:r>
              <w:rPr>
                <w:rFonts w:hint="eastAsia" w:ascii="宋体" w:hAnsi="宋体" w:eastAsia="宋体" w:cs="Times New Roman"/>
                <w:b/>
                <w:bCs/>
                <w:sz w:val="21"/>
                <w:szCs w:val="21"/>
              </w:rPr>
              <w:t>.1</w:t>
            </w:r>
            <w:r>
              <w:rPr>
                <w:rFonts w:hint="eastAsia" w:ascii="宋体" w:hAnsi="宋体" w:cs="Times New Roman"/>
                <w:b/>
                <w:bCs/>
                <w:sz w:val="21"/>
                <w:szCs w:val="21"/>
                <w:lang w:val="en-US" w:eastAsia="zh-CN"/>
              </w:rPr>
              <w:t>/9.1.1/</w:t>
            </w:r>
            <w:r>
              <w:rPr>
                <w:rFonts w:hint="eastAsia" w:ascii="宋体" w:hAnsi="宋体" w:eastAsia="宋体" w:cs="Times New Roman"/>
                <w:b/>
                <w:bCs/>
                <w:sz w:val="21"/>
                <w:szCs w:val="21"/>
              </w:rPr>
              <w:t>9.</w:t>
            </w:r>
            <w:r>
              <w:rPr>
                <w:rFonts w:hint="eastAsia" w:ascii="宋体" w:hAnsi="宋体" w:cs="Times New Roman"/>
                <w:b/>
                <w:bCs/>
                <w:sz w:val="21"/>
                <w:szCs w:val="21"/>
                <w:lang w:val="en-US" w:eastAsia="zh-CN"/>
              </w:rPr>
              <w:t>3</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 xml:space="preserve">10.2 </w:t>
            </w:r>
          </w:p>
        </w:tc>
        <w:tc>
          <w:tcPr>
            <w:tcW w:w="8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pStyle w:val="15"/>
              <w:rPr>
                <w:lang w:val="en-US" w:eastAsia="zh-CN"/>
              </w:rPr>
            </w:pPr>
            <w:r>
              <w:rPr>
                <w:rFonts w:hint="eastAsia" w:ascii="宋体" w:hAnsi="宋体" w:eastAsia="宋体" w:cs="Times New Roman"/>
                <w:bCs w:val="0"/>
                <w:spacing w:val="0"/>
                <w:kern w:val="2"/>
                <w:sz w:val="21"/>
                <w:szCs w:val="21"/>
                <w:lang w:val="en-US" w:eastAsia="zh-CN" w:bidi="ar-SA"/>
              </w:rPr>
              <w:t>能源管理体系策划、过程识别和策划及实施；适用法律法规识别</w:t>
            </w:r>
          </w:p>
        </w:tc>
        <w:tc>
          <w:tcPr>
            <w:tcW w:w="957" w:type="dxa"/>
            <w:vAlign w:val="top"/>
          </w:tcPr>
          <w:p>
            <w:pPr>
              <w:rPr>
                <w:rFonts w:hint="default" w:ascii="Times New Roman" w:hAnsi="Times New Roman" w:eastAsia="宋体" w:cs="Times New Roman"/>
                <w:kern w:val="2"/>
                <w:sz w:val="21"/>
                <w:lang w:val="en-US" w:eastAsia="zh-CN" w:bidi="ar-SA"/>
              </w:rPr>
            </w:pPr>
            <w:r>
              <w:rPr>
                <w:rFonts w:hint="eastAsia" w:ascii="宋体" w:hAnsi="宋体"/>
                <w:szCs w:val="21"/>
              </w:rPr>
              <w:t>4.1</w:t>
            </w:r>
            <w:r>
              <w:rPr>
                <w:rFonts w:hint="eastAsia" w:ascii="宋体" w:hAnsi="宋体"/>
                <w:szCs w:val="21"/>
                <w:lang w:val="en-US" w:eastAsia="zh-CN"/>
              </w:rPr>
              <w:t>/4.2/4.4</w:t>
            </w:r>
          </w:p>
        </w:tc>
        <w:tc>
          <w:tcPr>
            <w:tcW w:w="1073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以企业管理者代表龚莉进行沟通，了解企业的内外部环境及能源管理体系策划和实施情况：</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公司是一家</w:t>
            </w:r>
            <w:r>
              <w:rPr>
                <w:rFonts w:hint="default"/>
                <w:lang w:val="en-US" w:eastAsia="zh-CN"/>
              </w:rPr>
              <w:t>以音视频和多媒体</w:t>
            </w:r>
            <w:r>
              <w:rPr>
                <w:rFonts w:hint="eastAsia"/>
                <w:lang w:val="en-US" w:eastAsia="zh-CN"/>
              </w:rPr>
              <w:t>产品为主营业务的生产型高科技公司，集</w:t>
            </w:r>
            <w:r>
              <w:rPr>
                <w:rFonts w:hint="default"/>
                <w:lang w:val="en-US" w:eastAsia="zh-CN"/>
              </w:rPr>
              <w:t>设计、</w:t>
            </w:r>
            <w:r>
              <w:rPr>
                <w:rFonts w:hint="eastAsia"/>
                <w:lang w:val="en-US" w:eastAsia="zh-CN"/>
              </w:rPr>
              <w:t>研发、生产、销售、施工、售后服务于一体，</w:t>
            </w:r>
            <w:r>
              <w:rPr>
                <w:rFonts w:hint="default"/>
                <w:lang w:val="en-US" w:eastAsia="zh-CN"/>
              </w:rPr>
              <w:t>主要客户群是政府</w:t>
            </w:r>
            <w:r>
              <w:rPr>
                <w:rFonts w:hint="eastAsia"/>
                <w:lang w:val="en-US" w:eastAsia="zh-CN"/>
              </w:rPr>
              <w:t>、</w:t>
            </w:r>
            <w:r>
              <w:rPr>
                <w:rFonts w:hint="default"/>
                <w:lang w:val="en-US" w:eastAsia="zh-CN"/>
              </w:rPr>
              <w:t>军队</w:t>
            </w:r>
            <w:r>
              <w:rPr>
                <w:rFonts w:hint="eastAsia"/>
                <w:lang w:val="en-US" w:eastAsia="zh-CN"/>
              </w:rPr>
              <w:t>、</w:t>
            </w:r>
            <w:r>
              <w:rPr>
                <w:rFonts w:hint="default"/>
                <w:lang w:val="en-US" w:eastAsia="zh-CN"/>
              </w:rPr>
              <w:t>企业等</w:t>
            </w:r>
            <w:r>
              <w:rPr>
                <w:rFonts w:hint="eastAsia"/>
                <w:lang w:val="en-US" w:eastAsia="zh-CN"/>
              </w:rPr>
              <w:t>。我们工厂坐落于成都市经济开发区，配备</w:t>
            </w:r>
            <w:r>
              <w:rPr>
                <w:rFonts w:hint="default"/>
                <w:lang w:val="en-US" w:eastAsia="zh-CN"/>
              </w:rPr>
              <w:t>全自动化产线的</w:t>
            </w:r>
            <w:r>
              <w:rPr>
                <w:rFonts w:hint="eastAsia"/>
                <w:lang w:val="en-US" w:eastAsia="zh-CN"/>
              </w:rPr>
              <w:t>专业厂房，拥有一支高素质</w:t>
            </w:r>
            <w:r>
              <w:rPr>
                <w:rFonts w:hint="default"/>
                <w:lang w:val="en-US" w:eastAsia="zh-CN"/>
              </w:rPr>
              <w:t>管理</w:t>
            </w:r>
            <w:r>
              <w:rPr>
                <w:rFonts w:hint="eastAsia"/>
                <w:lang w:val="en-US" w:eastAsia="zh-CN"/>
              </w:rPr>
              <w:t>团队；我们</w:t>
            </w:r>
            <w:r>
              <w:rPr>
                <w:rFonts w:hint="default"/>
                <w:lang w:val="en-US" w:eastAsia="zh-CN"/>
              </w:rPr>
              <w:t>研发和销售</w:t>
            </w:r>
            <w:r>
              <w:rPr>
                <w:rFonts w:hint="eastAsia"/>
                <w:lang w:val="en-US" w:eastAsia="zh-CN"/>
              </w:rPr>
              <w:t>中心位于</w:t>
            </w:r>
            <w:r>
              <w:rPr>
                <w:rFonts w:hint="default"/>
                <w:lang w:val="en-US" w:eastAsia="zh-CN"/>
              </w:rPr>
              <w:t>成都市青羊区光华东三路498号西环广场2栋6楼</w:t>
            </w:r>
            <w:r>
              <w:rPr>
                <w:rFonts w:hint="eastAsia"/>
                <w:lang w:val="en-US" w:eastAsia="zh-CN"/>
              </w:rPr>
              <w:t>，</w:t>
            </w:r>
            <w:r>
              <w:rPr>
                <w:rFonts w:hint="default"/>
                <w:lang w:val="en-US" w:eastAsia="zh-CN"/>
              </w:rPr>
              <w:t>拥有</w:t>
            </w:r>
            <w:r>
              <w:rPr>
                <w:rFonts w:hint="eastAsia"/>
                <w:lang w:val="en-US" w:eastAsia="zh-CN"/>
              </w:rPr>
              <w:t>良好的办公环境，高学历的</w:t>
            </w:r>
            <w:r>
              <w:rPr>
                <w:rFonts w:hint="default"/>
                <w:lang w:val="en-US" w:eastAsia="zh-CN"/>
              </w:rPr>
              <w:t>研发人员和销售</w:t>
            </w:r>
            <w:r>
              <w:rPr>
                <w:rFonts w:hint="eastAsia"/>
                <w:lang w:val="en-US" w:eastAsia="zh-CN"/>
              </w:rPr>
              <w:t>精英。目前公司正在积极拓展国际贸易业务，争取疫情后时代为中国制造全球化增添一份力量。</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default"/>
                <w:lang w:val="en-US" w:eastAsia="zh-CN"/>
              </w:rPr>
            </w:pPr>
            <w:r>
              <w:rPr>
                <w:rFonts w:hint="eastAsia"/>
                <w:lang w:val="en-US" w:eastAsia="zh-CN"/>
              </w:rPr>
              <w:t>能源管理体系的策划和实施：企业编制了《组织环境与相关方要求控制程序》，确定了有关的外部和内部问题，以确保实现能源管理预产品和服务提供过程中发生的各种内外部因素，实施能源管理。定期召开经营管理会议，对这些中高风险进行监视和评审，充分识别、消除，降低风险，利用发展机遇，保证实现企业效益及能源管理体系预期结果。</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综合部具体负责定期组织对这些内外部问题的相关信息进行监视和评审，以确保其充分和适宜。</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公司编制了《组织环境与相关方要求控制程序》确定：与能源效益和能源管理系统有关的利害关系方;这些利害关系方的相关要求;组织通过其能源管理体系处理哪些确定的需求和期望。</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default"/>
                <w:lang w:val="en-US" w:eastAsia="zh-CN"/>
              </w:rPr>
            </w:pPr>
            <w:r>
              <w:rPr>
                <w:rFonts w:hint="eastAsia"/>
                <w:lang w:val="en-US" w:eastAsia="zh-CN"/>
              </w:rPr>
              <w:t>企业的</w:t>
            </w:r>
            <w:r>
              <w:rPr>
                <w:rFonts w:hint="default"/>
                <w:lang w:val="en-US" w:eastAsia="zh-CN"/>
              </w:rPr>
              <w:t>相关方包括：顾客、股东、员工、银行、外部供方、雇员及其他为组织工作者、法律法规及监管机关、非政府组织等。</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公司对这些相关方及其要求的相关信息进行监视和评审，以便于理解和持续满足相关方的需求和期望。</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企业识别了与其能源效率、能源使用和能源消耗相关的适用法律要求和其他要求;见法律法规清单及合规性评价；</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编制了能源评审报告确定这些要求适用于其能源效率、能源使用和能源消耗。</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eastAsia"/>
                <w:lang w:val="en-US" w:eastAsia="zh-CN"/>
              </w:rPr>
            </w:pPr>
            <w:r>
              <w:rPr>
                <w:rFonts w:hint="eastAsia"/>
                <w:lang w:val="en-US" w:eastAsia="zh-CN"/>
              </w:rPr>
              <w:t>该企业根据组织规模及其生产流程、产品和服务的类型及能源管理体系标准和行业认证的要求，建立、实施、维护和持续改进能源管理体系，包括所需的过程及其相互作用，人员的能力，以及企业发展的要求和持续改进能源有效性。</w:t>
            </w:r>
          </w:p>
          <w:p>
            <w:pPr>
              <w:keepNext w:val="0"/>
              <w:keepLines w:val="0"/>
              <w:pageBreakBefore w:val="0"/>
              <w:widowControl w:val="0"/>
              <w:kinsoku/>
              <w:wordWrap/>
              <w:overflowPunct/>
              <w:topLinePunct w:val="0"/>
              <w:autoSpaceDE w:val="0"/>
              <w:autoSpaceDN w:val="0"/>
              <w:bidi w:val="0"/>
              <w:adjustRightInd w:val="0"/>
              <w:snapToGrid/>
              <w:spacing w:before="120" w:line="240" w:lineRule="auto"/>
              <w:textAlignment w:val="auto"/>
              <w:rPr>
                <w:rFonts w:hint="default"/>
                <w:lang w:val="en-US" w:eastAsia="zh-CN"/>
              </w:rPr>
            </w:pPr>
            <w:r>
              <w:rPr>
                <w:rFonts w:hint="eastAsia"/>
                <w:lang w:val="en-US" w:eastAsia="zh-CN"/>
              </w:rPr>
              <w:t>企业能源管理体系覆盖25人。</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60" w:type="dxa"/>
            <w:vAlign w:val="top"/>
          </w:tcPr>
          <w:p>
            <w:pPr>
              <w:rPr>
                <w:rFonts w:hint="default" w:ascii="宋体" w:hAnsi="宋体" w:eastAsia="宋体" w:cs="Times New Roman"/>
                <w:b/>
                <w:bCs/>
                <w:kern w:val="2"/>
                <w:sz w:val="21"/>
                <w:szCs w:val="21"/>
                <w:lang w:val="en-US" w:eastAsia="zh-CN" w:bidi="ar-SA"/>
              </w:rPr>
            </w:pPr>
            <w:r>
              <w:rPr>
                <w:rFonts w:hint="eastAsia" w:ascii="宋体" w:hAnsi="宋体"/>
                <w:szCs w:val="21"/>
              </w:rPr>
              <w:t>确定能源管理体系的</w:t>
            </w:r>
            <w:r>
              <w:rPr>
                <w:rFonts w:hint="eastAsia" w:ascii="宋体" w:hAnsi="宋体" w:cs="Times New Roman"/>
                <w:szCs w:val="21"/>
                <w:lang w:val="en-US" w:eastAsia="zh-CN"/>
              </w:rPr>
              <w:t>认证和审核范围</w:t>
            </w:r>
          </w:p>
        </w:tc>
        <w:tc>
          <w:tcPr>
            <w:tcW w:w="957" w:type="dxa"/>
            <w:vAlign w:val="top"/>
          </w:tcPr>
          <w:p>
            <w:pPr>
              <w:rPr>
                <w:rFonts w:hint="default" w:ascii="宋体" w:hAnsi="宋体" w:eastAsia="宋体" w:cs="Times New Roman"/>
                <w:b/>
                <w:bCs/>
                <w:kern w:val="2"/>
                <w:sz w:val="21"/>
                <w:szCs w:val="21"/>
                <w:lang w:val="en-US" w:eastAsia="zh-CN" w:bidi="ar-SA"/>
              </w:rPr>
            </w:pPr>
            <w:r>
              <w:rPr>
                <w:rFonts w:hint="eastAsia" w:ascii="宋体" w:hAnsi="宋体"/>
                <w:szCs w:val="21"/>
              </w:rPr>
              <w:t xml:space="preserve">4.3 </w:t>
            </w:r>
          </w:p>
        </w:tc>
        <w:tc>
          <w:tcPr>
            <w:tcW w:w="10730" w:type="dxa"/>
            <w:vAlign w:val="top"/>
          </w:tcPr>
          <w:p>
            <w:pPr>
              <w:pStyle w:val="14"/>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 xml:space="preserve"> 该企业能源管理体系覆盖范围包括：</w:t>
            </w:r>
          </w:p>
          <w:p>
            <w:pPr>
              <w:pStyle w:val="14"/>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1.</w:t>
            </w:r>
            <w:bookmarkStart w:id="1" w:name="生产地址"/>
            <w:r>
              <w:rPr>
                <w:rFonts w:asciiTheme="minorEastAsia" w:hAnsiTheme="minorEastAsia" w:eastAsiaTheme="minorEastAsia"/>
                <w:sz w:val="20"/>
              </w:rPr>
              <w:t>四川省成都市青羊区光华东三路489号西环广场2栋605号</w:t>
            </w:r>
            <w:bookmarkEnd w:id="1"/>
            <w:r>
              <w:rPr>
                <w:rFonts w:hint="eastAsia" w:ascii="宋体" w:hAnsi="宋体" w:eastAsia="宋体" w:cs="Times New Roman"/>
                <w:bCs w:val="0"/>
                <w:spacing w:val="0"/>
                <w:kern w:val="2"/>
                <w:sz w:val="21"/>
                <w:szCs w:val="21"/>
                <w:lang w:val="en-US" w:eastAsia="zh-CN" w:bidi="ar-SA"/>
              </w:rPr>
              <w:t>，资质许可范围内</w:t>
            </w:r>
            <w:r>
              <w:rPr>
                <w:rFonts w:hint="eastAsia" w:ascii="宋体" w:hAnsi="宋体" w:cs="Times New Roman"/>
                <w:bCs w:val="0"/>
                <w:spacing w:val="0"/>
                <w:kern w:val="2"/>
                <w:sz w:val="21"/>
                <w:szCs w:val="21"/>
                <w:lang w:val="en-US" w:eastAsia="zh-CN" w:bidi="ar-SA"/>
              </w:rPr>
              <w:t>电子产品研发、销售</w:t>
            </w:r>
            <w:r>
              <w:rPr>
                <w:rFonts w:hint="eastAsia" w:ascii="宋体" w:hAnsi="宋体" w:eastAsia="宋体" w:cs="Times New Roman"/>
                <w:bCs w:val="0"/>
                <w:spacing w:val="0"/>
                <w:kern w:val="2"/>
                <w:sz w:val="21"/>
                <w:szCs w:val="21"/>
                <w:lang w:val="en-US" w:eastAsia="zh-CN" w:bidi="ar-SA"/>
              </w:rPr>
              <w:t>所涉及的能源使用的相关管理活动。</w:t>
            </w:r>
          </w:p>
          <w:p>
            <w:pPr>
              <w:pStyle w:val="14"/>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2.公司的部门——</w:t>
            </w:r>
            <w:r>
              <w:rPr>
                <w:rFonts w:hint="eastAsia" w:ascii="宋体" w:hAnsi="宋体" w:cs="Times New Roman"/>
                <w:bCs w:val="0"/>
                <w:spacing w:val="0"/>
                <w:kern w:val="2"/>
                <w:sz w:val="21"/>
                <w:szCs w:val="21"/>
                <w:lang w:val="en-US" w:eastAsia="zh-CN" w:bidi="ar-SA"/>
              </w:rPr>
              <w:t>综合部</w:t>
            </w:r>
            <w:r>
              <w:rPr>
                <w:rFonts w:hint="eastAsia" w:ascii="宋体" w:hAnsi="宋体" w:eastAsia="宋体" w:cs="Times New Roman"/>
                <w:bCs w:val="0"/>
                <w:spacing w:val="0"/>
                <w:kern w:val="2"/>
                <w:sz w:val="21"/>
                <w:szCs w:val="21"/>
                <w:lang w:val="en-US" w:eastAsia="zh-CN" w:bidi="ar-SA"/>
              </w:rPr>
              <w:t>、</w:t>
            </w:r>
            <w:r>
              <w:rPr>
                <w:rFonts w:hint="eastAsia" w:ascii="宋体" w:hAnsi="宋体" w:cs="Times New Roman"/>
                <w:bCs w:val="0"/>
                <w:spacing w:val="0"/>
                <w:kern w:val="2"/>
                <w:sz w:val="21"/>
                <w:szCs w:val="21"/>
                <w:lang w:val="en-US" w:eastAsia="zh-CN" w:bidi="ar-SA"/>
              </w:rPr>
              <w:t>市场部</w:t>
            </w:r>
            <w:r>
              <w:rPr>
                <w:rFonts w:hint="eastAsia" w:ascii="宋体" w:hAnsi="宋体" w:eastAsia="宋体" w:cs="Times New Roman"/>
                <w:bCs w:val="0"/>
                <w:spacing w:val="0"/>
                <w:kern w:val="2"/>
                <w:sz w:val="21"/>
                <w:szCs w:val="21"/>
                <w:lang w:val="en-US" w:eastAsia="zh-CN" w:bidi="ar-SA"/>
              </w:rPr>
              <w:t>、</w:t>
            </w:r>
            <w:r>
              <w:rPr>
                <w:rFonts w:hint="eastAsia" w:ascii="宋体" w:hAnsi="宋体" w:cs="Times New Roman"/>
                <w:bCs w:val="0"/>
                <w:spacing w:val="0"/>
                <w:kern w:val="2"/>
                <w:sz w:val="21"/>
                <w:szCs w:val="21"/>
                <w:lang w:val="en-US" w:eastAsia="zh-CN" w:bidi="ar-SA"/>
              </w:rPr>
              <w:t>技术</w:t>
            </w:r>
            <w:r>
              <w:rPr>
                <w:rFonts w:hint="eastAsia" w:ascii="宋体" w:hAnsi="宋体" w:eastAsia="宋体" w:cs="Times New Roman"/>
                <w:bCs w:val="0"/>
                <w:spacing w:val="0"/>
                <w:kern w:val="2"/>
                <w:sz w:val="21"/>
                <w:szCs w:val="21"/>
                <w:lang w:val="en-US" w:eastAsia="zh-CN" w:bidi="ar-SA"/>
              </w:rPr>
              <w:t>部。</w:t>
            </w:r>
          </w:p>
          <w:p>
            <w:pPr>
              <w:pStyle w:val="14"/>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default" w:ascii="宋体" w:hAnsi="宋体" w:eastAsia="宋体" w:cs="Times New Roman"/>
                <w:bCs w:val="0"/>
                <w:spacing w:val="0"/>
                <w:kern w:val="2"/>
                <w:sz w:val="21"/>
                <w:szCs w:val="21"/>
                <w:lang w:val="en-US" w:eastAsia="zh-CN" w:bidi="ar-SA"/>
              </w:rPr>
            </w:pPr>
            <w:r>
              <w:rPr>
                <w:rFonts w:hint="eastAsia" w:ascii="宋体" w:hAnsi="宋体" w:cs="Times New Roman"/>
                <w:bCs w:val="0"/>
                <w:spacing w:val="0"/>
                <w:kern w:val="2"/>
                <w:sz w:val="21"/>
                <w:szCs w:val="21"/>
                <w:lang w:val="en-US" w:eastAsia="zh-CN" w:bidi="ar-SA"/>
              </w:rPr>
              <w:t>本次审核能源管理体系范围为：</w:t>
            </w:r>
            <w:bookmarkStart w:id="2" w:name="审核范围"/>
            <w:r>
              <w:rPr>
                <w:rFonts w:hint="eastAsia" w:ascii="宋体" w:hAnsi="宋体" w:cs="Times New Roman"/>
                <w:bCs w:val="0"/>
                <w:spacing w:val="0"/>
                <w:kern w:val="2"/>
                <w:sz w:val="21"/>
                <w:szCs w:val="21"/>
                <w:lang w:val="en-US" w:eastAsia="zh-CN" w:bidi="ar-SA"/>
              </w:rPr>
              <w:t>电子产品研发、销售</w:t>
            </w:r>
            <w:r>
              <w:rPr>
                <w:sz w:val="20"/>
              </w:rPr>
              <w:t>所涉及的能源管理活动</w:t>
            </w:r>
            <w:bookmarkEnd w:id="2"/>
            <w:r>
              <w:rPr>
                <w:rFonts w:hint="eastAsia"/>
                <w:sz w:val="20"/>
                <w:lang w:eastAsia="zh-CN"/>
              </w:rPr>
              <w:t>，</w:t>
            </w:r>
            <w:r>
              <w:rPr>
                <w:rFonts w:hint="eastAsia"/>
                <w:sz w:val="20"/>
                <w:lang w:val="en-US" w:eastAsia="zh-CN"/>
              </w:rPr>
              <w:t>部门包括</w:t>
            </w:r>
            <w:r>
              <w:rPr>
                <w:rFonts w:hint="eastAsia" w:ascii="宋体" w:hAnsi="宋体" w:cs="Times New Roman"/>
                <w:bCs w:val="0"/>
                <w:spacing w:val="0"/>
                <w:kern w:val="2"/>
                <w:sz w:val="21"/>
                <w:szCs w:val="21"/>
                <w:lang w:val="en-US" w:eastAsia="zh-CN" w:bidi="ar-SA"/>
              </w:rPr>
              <w:t>综合部</w:t>
            </w:r>
            <w:r>
              <w:rPr>
                <w:rFonts w:hint="eastAsia" w:ascii="宋体" w:hAnsi="宋体" w:eastAsia="宋体" w:cs="Times New Roman"/>
                <w:bCs w:val="0"/>
                <w:spacing w:val="0"/>
                <w:kern w:val="2"/>
                <w:sz w:val="21"/>
                <w:szCs w:val="21"/>
                <w:lang w:val="en-US" w:eastAsia="zh-CN" w:bidi="ar-SA"/>
              </w:rPr>
              <w:t>、</w:t>
            </w:r>
            <w:r>
              <w:rPr>
                <w:rFonts w:hint="eastAsia" w:ascii="宋体" w:hAnsi="宋体" w:cs="Times New Roman"/>
                <w:bCs w:val="0"/>
                <w:spacing w:val="0"/>
                <w:kern w:val="2"/>
                <w:sz w:val="21"/>
                <w:szCs w:val="21"/>
                <w:lang w:val="en-US" w:eastAsia="zh-CN" w:bidi="ar-SA"/>
              </w:rPr>
              <w:t>市场部</w:t>
            </w:r>
            <w:r>
              <w:rPr>
                <w:rFonts w:hint="eastAsia" w:ascii="宋体" w:hAnsi="宋体" w:eastAsia="宋体" w:cs="Times New Roman"/>
                <w:bCs w:val="0"/>
                <w:spacing w:val="0"/>
                <w:kern w:val="2"/>
                <w:sz w:val="21"/>
                <w:szCs w:val="21"/>
                <w:lang w:val="en-US" w:eastAsia="zh-CN" w:bidi="ar-SA"/>
              </w:rPr>
              <w:t>、</w:t>
            </w:r>
            <w:r>
              <w:rPr>
                <w:rFonts w:hint="eastAsia" w:ascii="宋体" w:hAnsi="宋体" w:cs="Times New Roman"/>
                <w:bCs w:val="0"/>
                <w:spacing w:val="0"/>
                <w:kern w:val="2"/>
                <w:sz w:val="21"/>
                <w:szCs w:val="21"/>
                <w:lang w:val="en-US" w:eastAsia="zh-CN" w:bidi="ar-SA"/>
              </w:rPr>
              <w:t>技术</w:t>
            </w:r>
            <w:r>
              <w:rPr>
                <w:rFonts w:hint="eastAsia" w:ascii="宋体" w:hAnsi="宋体" w:eastAsia="宋体" w:cs="Times New Roman"/>
                <w:bCs w:val="0"/>
                <w:spacing w:val="0"/>
                <w:kern w:val="2"/>
                <w:sz w:val="21"/>
                <w:szCs w:val="21"/>
                <w:lang w:val="en-US" w:eastAsia="zh-CN" w:bidi="ar-SA"/>
              </w:rPr>
              <w:t>部。</w:t>
            </w:r>
          </w:p>
          <w:p>
            <w:pPr>
              <w:pStyle w:val="14"/>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default" w:ascii="宋体" w:hAnsi="宋体" w:eastAsia="宋体" w:cs="Times New Roman"/>
                <w:bCs w:val="0"/>
                <w:spacing w:val="0"/>
                <w:kern w:val="2"/>
                <w:sz w:val="21"/>
                <w:szCs w:val="21"/>
                <w:lang w:val="en-US" w:eastAsia="zh-CN" w:bidi="ar-SA"/>
              </w:rPr>
            </w:pPr>
            <w:r>
              <w:rPr>
                <w:rFonts w:hint="eastAsia" w:ascii="宋体" w:hAnsi="宋体" w:cs="Times New Roman"/>
                <w:bCs w:val="0"/>
                <w:spacing w:val="0"/>
                <w:kern w:val="2"/>
                <w:sz w:val="21"/>
                <w:szCs w:val="21"/>
                <w:lang w:val="en-US" w:eastAsia="zh-CN" w:bidi="ar-SA"/>
              </w:rPr>
              <w:t>符合要求</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60" w:type="dxa"/>
            <w:vAlign w:val="top"/>
          </w:tcPr>
          <w:p>
            <w:pPr>
              <w:pStyle w:val="14"/>
              <w:rPr>
                <w:rFonts w:hint="eastAsia"/>
                <w:lang w:val="en-US" w:eastAsia="zh-CN"/>
              </w:rPr>
            </w:pPr>
            <w:r>
              <w:rPr>
                <w:rFonts w:hint="eastAsia"/>
              </w:rPr>
              <w:t>领导作用和承诺</w:t>
            </w:r>
          </w:p>
        </w:tc>
        <w:tc>
          <w:tcPr>
            <w:tcW w:w="957"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5.1</w:t>
            </w: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企业的最高管理者通过：建立能源管理体系范围和边界;能源政策,目标和能源目标建立和符合组织的战略方向;将能源管理体系需求集成到组织的业务流程中;行动计划得到批准和执行;能源管理体系所需的资源可用;宣传有效的能源管理和符合环境管理体系要求的重要性;能源管理体系达到预期结果;促进能源性能和环境管理体系的持续改进;组建能源管理团队;指导和支持人员对环境管理体系的有效性和能源性能的改善做出贡献;支持其他相关管理角色，以显示其在职责范围内的领导能力;建立能源绩效参数适当地代表能源绩效.建立和实施过程，以识别和处理在能源管理体系范围和范围内影响能源管理体系的变化。</w:t>
            </w:r>
          </w:p>
          <w:p>
            <w:pPr>
              <w:pStyle w:val="15"/>
              <w:keepNext w:val="0"/>
              <w:keepLines w:val="0"/>
              <w:pageBreakBefore w:val="0"/>
              <w:kinsoku/>
              <w:wordWrap/>
              <w:overflowPunct/>
              <w:topLinePunct w:val="0"/>
              <w:autoSpaceDE/>
              <w:autoSpaceDN/>
              <w:bidi w:val="0"/>
              <w:adjustRightInd/>
              <w:snapToGrid/>
              <w:spacing w:before="157" w:beforeLines="50"/>
              <w:textAlignment w:val="auto"/>
              <w:rPr>
                <w:rFonts w:hint="default"/>
                <w:lang w:val="en-US" w:eastAsia="zh-CN"/>
              </w:rPr>
            </w:pPr>
            <w:r>
              <w:rPr>
                <w:rFonts w:hint="eastAsia" w:ascii="宋体" w:hAnsi="宋体" w:eastAsia="宋体" w:cs="Times New Roman"/>
                <w:bCs w:val="0"/>
                <w:spacing w:val="0"/>
                <w:kern w:val="2"/>
                <w:sz w:val="21"/>
                <w:szCs w:val="21"/>
                <w:lang w:val="en-US" w:eastAsia="zh-CN" w:bidi="ar-SA"/>
              </w:rPr>
              <w:t>以上承诺通过组织实施的活动来体现。具体见各部门审核记录。</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60" w:type="dxa"/>
            <w:vAlign w:val="top"/>
          </w:tcPr>
          <w:p>
            <w:pPr>
              <w:rPr>
                <w:rFonts w:hint="default" w:ascii="宋体" w:hAnsi="宋体" w:eastAsia="宋体" w:cs="Times New Roman"/>
                <w:b/>
                <w:bCs/>
                <w:kern w:val="2"/>
                <w:sz w:val="21"/>
                <w:szCs w:val="21"/>
                <w:lang w:val="en-US" w:eastAsia="zh-CN" w:bidi="ar-SA"/>
              </w:rPr>
            </w:pPr>
            <w:r>
              <w:rPr>
                <w:rFonts w:hint="eastAsia" w:ascii="宋体" w:hAnsi="宋体"/>
                <w:szCs w:val="21"/>
              </w:rPr>
              <w:t>能源</w:t>
            </w:r>
            <w:r>
              <w:rPr>
                <w:rFonts w:hint="eastAsia" w:ascii="宋体" w:hAnsi="宋体" w:cs="Times New Roman"/>
                <w:szCs w:val="21"/>
                <w:lang w:val="en-US" w:eastAsia="zh-CN"/>
              </w:rPr>
              <w:t>管理方针和目标及目标完成情况</w:t>
            </w:r>
          </w:p>
        </w:tc>
        <w:tc>
          <w:tcPr>
            <w:tcW w:w="957"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5.2</w:t>
            </w:r>
            <w:r>
              <w:rPr>
                <w:rFonts w:hint="eastAsia" w:ascii="宋体" w:hAnsi="宋体"/>
                <w:szCs w:val="21"/>
                <w:lang w:val="en-US" w:eastAsia="zh-CN"/>
              </w:rPr>
              <w:t>/6.2</w:t>
            </w:r>
            <w:r>
              <w:rPr>
                <w:rFonts w:hint="eastAsia" w:ascii="宋体" w:hAnsi="宋体"/>
                <w:szCs w:val="21"/>
              </w:rPr>
              <w:t xml:space="preserve"> </w:t>
            </w:r>
          </w:p>
        </w:tc>
        <w:tc>
          <w:tcPr>
            <w:tcW w:w="10730" w:type="dxa"/>
            <w:vAlign w:val="top"/>
          </w:tcPr>
          <w:p>
            <w:pPr>
              <w:pStyle w:val="1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该企业的能源方针已于 2021年5月16日发布实施。</w:t>
            </w:r>
          </w:p>
          <w:p>
            <w:pPr>
              <w:pStyle w:val="1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能源方针：遵守法规 清洁生产；节能降耗 创新改造；能耗限额 持续改进</w:t>
            </w:r>
          </w:p>
          <w:p>
            <w:pPr>
              <w:pStyle w:val="1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其含义：遵守能源方面的法律、法规及其他要求，积极推行清洁生产，从源头削减能源用量，促进循环经济发展。采用节能新技术、新工艺，不断创新改造，持续改进能源绩效，以降低能源消耗，提高能源利用效率。合理用能，建立并持续改进能源管理体系，坚持以人为本，履行社会责任，实现可持续发展。支持高效产品和服务的采购，支持积极改进能源绩效的设计。为积极制定能源目标、指标提供方向和框架。</w:t>
            </w:r>
          </w:p>
          <w:p>
            <w:pPr>
              <w:pStyle w:val="1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符合要求</w:t>
            </w:r>
          </w:p>
          <w:p>
            <w:pPr>
              <w:pStyle w:val="1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能源目标指标：每月的耗电指标是：3.99kwh/平米；</w:t>
            </w:r>
          </w:p>
          <w:p>
            <w:pPr>
              <w:pStyle w:val="1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default"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              2021年11月份完成：2.09kwh/平米。</w:t>
            </w:r>
          </w:p>
          <w:p>
            <w:pPr>
              <w:pStyle w:val="10"/>
              <w:pageBreakBefore w:val="0"/>
              <w:widowControl w:val="0"/>
              <w:kinsoku/>
              <w:wordWrap/>
              <w:overflowPunct/>
              <w:topLinePunct w:val="0"/>
              <w:autoSpaceDE/>
              <w:autoSpaceDN/>
              <w:bidi w:val="0"/>
              <w:adjustRightInd/>
              <w:snapToGrid/>
              <w:spacing w:before="157" w:beforeLines="50" w:line="240" w:lineRule="auto"/>
              <w:ind w:left="0" w:leftChars="0" w:firstLine="1470" w:firstLineChars="700"/>
              <w:textAlignment w:val="auto"/>
              <w:rPr>
                <w:rFonts w:hint="default"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完成目标。</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 xml:space="preserve"> 组织的岗位、职责和权限</w:t>
            </w:r>
          </w:p>
        </w:tc>
        <w:tc>
          <w:tcPr>
            <w:tcW w:w="957"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5.3</w:t>
            </w: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公司构建了完善了能源管理体系及运行体系，机构下设综合部、</w:t>
            </w:r>
            <w:r>
              <w:rPr>
                <w:rFonts w:hint="eastAsia" w:cs="Times New Roman"/>
                <w:color w:val="000000" w:themeColor="text1"/>
                <w:sz w:val="20"/>
                <w:szCs w:val="22"/>
                <w:lang w:val="en-US" w:eastAsia="zh-CN"/>
                <w14:textFill>
                  <w14:solidFill>
                    <w14:schemeClr w14:val="tx1"/>
                  </w14:solidFill>
                </w14:textFill>
              </w:rPr>
              <w:t>市场部</w:t>
            </w:r>
            <w:r>
              <w:rPr>
                <w:rFonts w:hint="eastAsia" w:ascii="Times New Roman" w:hAnsi="Times New Roman" w:cs="Times New Roman"/>
                <w:color w:val="000000" w:themeColor="text1"/>
                <w:sz w:val="20"/>
                <w:szCs w:val="22"/>
                <w:lang w:val="en-US" w:eastAsia="zh-CN"/>
                <w14:textFill>
                  <w14:solidFill>
                    <w14:schemeClr w14:val="tx1"/>
                  </w14:solidFill>
                </w14:textFill>
              </w:rPr>
              <w:t>、</w:t>
            </w:r>
            <w:r>
              <w:rPr>
                <w:rFonts w:hint="eastAsia" w:cs="Times New Roman"/>
                <w:color w:val="000000" w:themeColor="text1"/>
                <w:sz w:val="20"/>
                <w:szCs w:val="22"/>
                <w:lang w:val="en-US" w:eastAsia="zh-CN"/>
                <w14:textFill>
                  <w14:solidFill>
                    <w14:schemeClr w14:val="tx1"/>
                  </w14:solidFill>
                </w14:textFill>
              </w:rPr>
              <w:t>技术部</w:t>
            </w:r>
            <w:r>
              <w:rPr>
                <w:rFonts w:hint="eastAsia"/>
                <w:color w:val="000000" w:themeColor="text1"/>
                <w:sz w:val="20"/>
                <w:lang w:val="en-US" w:eastAsia="zh-CN"/>
                <w14:textFill>
                  <w14:solidFill>
                    <w14:schemeClr w14:val="tx1"/>
                  </w14:solidFill>
                </w14:textFill>
              </w:rPr>
              <w:t>等部门。</w:t>
            </w:r>
          </w:p>
          <w:p>
            <w:pPr>
              <w:pStyle w:val="14"/>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从管理层到各部门、各岗位能源职责权限均在《管理手册》中予以规定。</w:t>
            </w:r>
          </w:p>
          <w:p>
            <w:pPr>
              <w:pStyle w:val="14"/>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基本满足要求。</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vAlign w:val="top"/>
          </w:tcPr>
          <w:p>
            <w:pPr>
              <w:rPr>
                <w:rFonts w:hint="eastAsia"/>
              </w:rPr>
            </w:pPr>
            <w:r>
              <w:rPr>
                <w:rFonts w:hint="eastAsia" w:ascii="宋体" w:hAnsi="宋体" w:cs="Times New Roman"/>
                <w:szCs w:val="21"/>
                <w:lang w:val="en-US" w:eastAsia="zh-CN"/>
              </w:rPr>
              <w:t>风险机制的建立和控制情况</w:t>
            </w:r>
          </w:p>
          <w:p>
            <w:pPr>
              <w:pStyle w:val="14"/>
              <w:rPr>
                <w:rFonts w:hint="eastAsia"/>
                <w:lang w:val="en-US" w:eastAsia="zh-CN"/>
              </w:rPr>
            </w:pPr>
          </w:p>
        </w:tc>
        <w:tc>
          <w:tcPr>
            <w:tcW w:w="957"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6.1</w:t>
            </w:r>
          </w:p>
        </w:tc>
        <w:tc>
          <w:tcPr>
            <w:tcW w:w="10730" w:type="dxa"/>
            <w:vAlign w:val="top"/>
          </w:tcPr>
          <w:p>
            <w:pPr>
              <w:pStyle w:val="5"/>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t>公司编制了《风险和机遇分析评价及应对措施控制程序》通过识别评审风险与机遇，制定相关措施。</w:t>
            </w:r>
          </w:p>
          <w:p>
            <w:pPr>
              <w:pStyle w:val="5"/>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t>提供“能源风险和机遇管控清单”</w:t>
            </w:r>
          </w:p>
          <w:p>
            <w:pPr>
              <w:pStyle w:val="5"/>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ascii="Times New Roman" w:hAnsi="Times New Roman" w:eastAsia="宋体" w:cs="Times New Roman"/>
                <w:color w:val="000000" w:themeColor="text1"/>
                <w:kern w:val="2"/>
                <w:sz w:val="20"/>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t>包括外部因素和内部因素：法律法规、相关方要求、技术、竞争、市场、社会、公司运营、财务状况、人力资源和资源几个方面进行分析评价，对制定的高风险</w:t>
            </w:r>
            <w:r>
              <w:rPr>
                <w:rFonts w:hint="eastAsia" w:ascii="Times New Roman" w:hAnsi="Times New Roman" w:eastAsia="宋体" w:cs="Times New Roman"/>
                <w:color w:val="000000" w:themeColor="text1"/>
                <w:kern w:val="2"/>
                <w:sz w:val="20"/>
                <w:szCs w:val="22"/>
                <w:highlight w:val="none"/>
                <w:lang w:val="en-US" w:eastAsia="zh-CN" w:bidi="ar-SA"/>
                <w14:textFill>
                  <w14:solidFill>
                    <w14:schemeClr w14:val="tx1"/>
                  </w14:solidFill>
                </w14:textFill>
              </w:rPr>
              <w:t>制定了管控措施，</w:t>
            </w:r>
          </w:p>
        </w:tc>
        <w:tc>
          <w:tcPr>
            <w:tcW w:w="862" w:type="dxa"/>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Align w:val="top"/>
          </w:tcPr>
          <w:p>
            <w:pPr>
              <w:rPr>
                <w:rFonts w:hint="eastAsia"/>
              </w:rPr>
            </w:pPr>
            <w:r>
              <w:rPr>
                <w:rFonts w:hint="eastAsia"/>
              </w:rPr>
              <w:t>资源</w:t>
            </w:r>
          </w:p>
          <w:p>
            <w:pPr>
              <w:pStyle w:val="14"/>
              <w:rPr>
                <w:rFonts w:hint="eastAsia"/>
              </w:rPr>
            </w:pPr>
          </w:p>
          <w:p>
            <w:pPr>
              <w:pStyle w:val="14"/>
              <w:rPr>
                <w:rFonts w:hint="eastAsia"/>
                <w:lang w:val="en-US" w:eastAsia="zh-CN"/>
              </w:rPr>
            </w:pPr>
          </w:p>
        </w:tc>
        <w:tc>
          <w:tcPr>
            <w:tcW w:w="957"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 xml:space="preserve">7.1 </w:t>
            </w: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20" w:line="240" w:lineRule="auto"/>
              <w:jc w:val="left"/>
              <w:textAlignment w:val="auto"/>
              <w:rPr>
                <w:rFonts w:hint="eastAsia" w:ascii="Times New Roman" w:hAnsi="Times New Roman" w:eastAsia="宋体" w:cs="Times New Roman"/>
                <w:color w:val="000000" w:themeColor="text1"/>
                <w:sz w:val="20"/>
                <w:szCs w:val="22"/>
                <w:lang w:val="en-US" w:eastAsia="zh-CN"/>
                <w14:textFill>
                  <w14:solidFill>
                    <w14:schemeClr w14:val="tx1"/>
                  </w14:solidFill>
                </w14:textFill>
              </w:rPr>
            </w:pPr>
            <w:r>
              <w:rPr>
                <w:rFonts w:hint="eastAsia" w:ascii="Times New Roman" w:hAnsi="Times New Roman" w:eastAsia="宋体" w:cs="Times New Roman"/>
                <w:color w:val="000000" w:themeColor="text1"/>
                <w:sz w:val="20"/>
                <w:szCs w:val="22"/>
                <w:lang w:val="en-US" w:eastAsia="zh-CN"/>
                <w14:textFill>
                  <w14:solidFill>
                    <w14:schemeClr w14:val="tx1"/>
                  </w14:solidFill>
                </w14:textFill>
              </w:rPr>
              <w:t>提供《设备管理台帐》，主要有：</w:t>
            </w:r>
            <w:r>
              <w:rPr>
                <w:rFonts w:hint="eastAsia" w:cs="Times New Roman"/>
                <w:color w:val="000000" w:themeColor="text1"/>
                <w:sz w:val="20"/>
                <w:szCs w:val="22"/>
                <w:lang w:val="en-US" w:eastAsia="zh-CN"/>
                <w14:textFill>
                  <w14:solidFill>
                    <w14:schemeClr w14:val="tx1"/>
                  </w14:solidFill>
                </w14:textFill>
              </w:rPr>
              <w:t>计算机</w:t>
            </w:r>
            <w:r>
              <w:rPr>
                <w:rFonts w:hint="eastAsia" w:ascii="Times New Roman" w:hAnsi="Times New Roman" w:eastAsia="宋体" w:cs="Times New Roman"/>
                <w:color w:val="000000" w:themeColor="text1"/>
                <w:sz w:val="20"/>
                <w:szCs w:val="22"/>
                <w:lang w:val="en-US" w:eastAsia="zh-CN"/>
                <w14:textFill>
                  <w14:solidFill>
                    <w14:schemeClr w14:val="tx1"/>
                  </w14:solidFill>
                </w14:textFill>
              </w:rPr>
              <w:t>、</w:t>
            </w:r>
            <w:r>
              <w:rPr>
                <w:rFonts w:hint="eastAsia" w:cs="Times New Roman"/>
                <w:color w:val="000000" w:themeColor="text1"/>
                <w:sz w:val="20"/>
                <w:szCs w:val="22"/>
                <w:lang w:val="en-US" w:eastAsia="zh-CN"/>
                <w14:textFill>
                  <w14:solidFill>
                    <w14:schemeClr w14:val="tx1"/>
                  </w14:solidFill>
                </w14:textFill>
              </w:rPr>
              <w:t>空调</w:t>
            </w:r>
            <w:r>
              <w:rPr>
                <w:rFonts w:hint="eastAsia" w:ascii="Times New Roman" w:hAnsi="Times New Roman" w:eastAsia="宋体" w:cs="Times New Roman"/>
                <w:color w:val="000000" w:themeColor="text1"/>
                <w:sz w:val="20"/>
                <w:szCs w:val="22"/>
                <w:lang w:val="en-US" w:eastAsia="zh-CN"/>
                <w14:textFill>
                  <w14:solidFill>
                    <w14:schemeClr w14:val="tx1"/>
                  </w14:solidFill>
                </w14:textFill>
              </w:rPr>
              <w:t>、</w:t>
            </w:r>
            <w:r>
              <w:rPr>
                <w:rFonts w:hint="eastAsia" w:cs="Times New Roman"/>
                <w:color w:val="000000" w:themeColor="text1"/>
                <w:sz w:val="20"/>
                <w:szCs w:val="22"/>
                <w:lang w:val="en-US" w:eastAsia="zh-CN"/>
                <w14:textFill>
                  <w14:solidFill>
                    <w14:schemeClr w14:val="tx1"/>
                  </w14:solidFill>
                </w14:textFill>
              </w:rPr>
              <w:t>照明灯</w:t>
            </w:r>
            <w:r>
              <w:rPr>
                <w:rFonts w:hint="eastAsia" w:ascii="Times New Roman" w:hAnsi="Times New Roman" w:eastAsia="宋体" w:cs="Times New Roman"/>
                <w:color w:val="000000" w:themeColor="text1"/>
                <w:sz w:val="20"/>
                <w:szCs w:val="22"/>
                <w:lang w:val="en-US" w:eastAsia="zh-CN"/>
                <w14:textFill>
                  <w14:solidFill>
                    <w14:schemeClr w14:val="tx1"/>
                  </w14:solidFill>
                </w14:textFill>
              </w:rPr>
              <w:t>。满足实际</w:t>
            </w:r>
            <w:r>
              <w:rPr>
                <w:rFonts w:hint="eastAsia" w:cs="Times New Roman"/>
                <w:color w:val="000000" w:themeColor="text1"/>
                <w:sz w:val="20"/>
                <w:szCs w:val="22"/>
                <w:lang w:val="en-US" w:eastAsia="zh-CN"/>
                <w14:textFill>
                  <w14:solidFill>
                    <w14:schemeClr w14:val="tx1"/>
                  </w14:solidFill>
                </w14:textFill>
              </w:rPr>
              <w:t>经营</w:t>
            </w:r>
            <w:r>
              <w:rPr>
                <w:rFonts w:hint="eastAsia" w:ascii="Times New Roman" w:hAnsi="Times New Roman" w:eastAsia="宋体" w:cs="Times New Roman"/>
                <w:color w:val="000000" w:themeColor="text1"/>
                <w:sz w:val="20"/>
                <w:szCs w:val="2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lang w:val="en-US" w:eastAsia="zh-CN"/>
              </w:rPr>
            </w:pPr>
            <w:r>
              <w:rPr>
                <w:rFonts w:hint="eastAsia"/>
                <w:color w:val="000000" w:themeColor="text1"/>
                <w:sz w:val="20"/>
                <w:highlight w:val="none"/>
                <w:lang w:val="en-US" w:eastAsia="zh-CN"/>
                <w14:textFill>
                  <w14:solidFill>
                    <w14:schemeClr w14:val="tx1"/>
                  </w14:solidFill>
                </w14:textFill>
              </w:rPr>
              <w:t>计量设备有电表、水表、都有物业负责管理</w:t>
            </w:r>
            <w:r>
              <w:rPr>
                <w:rFonts w:hint="eastAsia"/>
                <w:color w:val="000000" w:themeColor="text1"/>
                <w:sz w:val="20"/>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color w:val="000000" w:themeColor="text1"/>
                <w:sz w:val="20"/>
                <w:lang w:val="en-US" w:eastAsia="zh-CN"/>
                <w14:textFill>
                  <w14:solidFill>
                    <w14:schemeClr w14:val="tx1"/>
                  </w14:solidFill>
                </w14:textFill>
              </w:rPr>
            </w:pPr>
            <w:r>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t>公司制定了《能力、意识和培训控制程序》，对人员能力、专业水平等提出要求；公司有一支经验丰富的专业研发团队，</w:t>
            </w:r>
            <w:r>
              <w:rPr>
                <w:rFonts w:hint="eastAsia"/>
                <w:color w:val="000000" w:themeColor="text1"/>
                <w:sz w:val="20"/>
                <w:lang w:val="en-US" w:eastAsia="zh-CN"/>
                <w14:textFill>
                  <w14:solidFill>
                    <w14:schemeClr w14:val="tx1"/>
                  </w14:solidFill>
                </w14:textFill>
              </w:rPr>
              <w:t>公司能源管理体系覆盖人数25人，有管理人员、技术人员、市场人员，</w:t>
            </w:r>
            <w:r>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t>为公司的可持续健康发展奠定坚实基础</w:t>
            </w:r>
            <w:r>
              <w:rPr>
                <w:rFonts w:hint="eastAsia"/>
                <w:color w:val="000000" w:themeColor="text1"/>
                <w:sz w:val="20"/>
                <w:lang w:val="en-US"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ascii="Times New Roman" w:hAnsi="Times New Roman" w:eastAsia="宋体" w:cs="Times New Roman"/>
                <w:color w:val="000000" w:themeColor="text1"/>
                <w:kern w:val="2"/>
                <w:sz w:val="20"/>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2"/>
                <w:lang w:val="en-US" w:eastAsia="zh-CN" w:bidi="ar-SA"/>
                <w14:textFill>
                  <w14:solidFill>
                    <w14:schemeClr w14:val="tx1"/>
                  </w14:solidFill>
                </w14:textFill>
              </w:rPr>
              <w:t>资源配置能够满足建立、实施、保持和持续改进能源绩效和能源管理体系的有效运行</w:t>
            </w:r>
            <w:r>
              <w:rPr>
                <w:rFonts w:hint="eastAsia"/>
                <w:color w:val="000000" w:themeColor="text1"/>
                <w:sz w:val="20"/>
                <w:lang w:val="en-US" w:eastAsia="zh-CN"/>
                <w14:textFill>
                  <w14:solidFill>
                    <w14:schemeClr w14:val="tx1"/>
                  </w14:solidFill>
                </w14:textFill>
              </w:rPr>
              <w:t>。</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Align w:val="top"/>
          </w:tcPr>
          <w:p>
            <w:pPr>
              <w:pStyle w:val="14"/>
              <w:rPr>
                <w:rFonts w:hint="eastAsia"/>
                <w:lang w:val="en-US" w:eastAsia="zh-CN"/>
              </w:rPr>
            </w:pPr>
            <w:r>
              <w:rPr>
                <w:rFonts w:hint="eastAsia" w:ascii="宋体" w:hAnsi="宋体" w:eastAsia="宋体" w:cs="Times New Roman"/>
                <w:bCs w:val="0"/>
                <w:spacing w:val="0"/>
                <w:kern w:val="2"/>
                <w:sz w:val="21"/>
                <w:szCs w:val="21"/>
                <w:lang w:val="en-US" w:eastAsia="zh-CN" w:bidi="ar-SA"/>
              </w:rPr>
              <w:t>监视测量</w:t>
            </w:r>
          </w:p>
        </w:tc>
        <w:tc>
          <w:tcPr>
            <w:tcW w:w="957" w:type="dxa"/>
            <w:vAlign w:val="top"/>
          </w:tcPr>
          <w:p>
            <w:pPr>
              <w:rPr>
                <w:rFonts w:hint="default" w:ascii="宋体" w:hAnsi="宋体" w:eastAsia="宋体"/>
                <w:szCs w:val="21"/>
                <w:lang w:val="en-US" w:eastAsia="zh-CN"/>
              </w:rPr>
            </w:pPr>
            <w:r>
              <w:rPr>
                <w:rFonts w:hint="eastAsia" w:ascii="宋体" w:hAnsi="宋体"/>
                <w:szCs w:val="21"/>
                <w:lang w:val="en-US" w:eastAsia="zh-CN"/>
              </w:rPr>
              <w:t>9.1.1</w:t>
            </w: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企业建立了《监视和测量控制程序》确定能源性能和能源管理体系:需要监测和测量的内容，至少包括以下关键特征:</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实现目标和能源目标方面的有效性；能源绩效参数；主要能源使用；实际能耗与预期能耗;</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监测、测量、分析和评估的方法，以确保有效的结果;进行监视和测量。</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企业评估其能源性能和能源管理体系的有效性——见内审、管理评审。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通过将能源绩效参数与能源基准进行比较来评估能源绩效的改进——见能源评审报告。</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调查和应对能源性能的重大偏差。组织应保留关于调查和反应结果的文件化信息，企业在能源管理体系建立运行以来未发生重大偏差——见法律法规和合规性评价。等</w:t>
            </w:r>
          </w:p>
          <w:p>
            <w:pPr>
              <w:pStyle w:val="14"/>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lang w:val="en-US" w:eastAsia="zh-CN"/>
              </w:rPr>
            </w:pPr>
            <w:r>
              <w:rPr>
                <w:rFonts w:hint="eastAsia"/>
                <w:lang w:val="en-US" w:eastAsia="zh-CN"/>
              </w:rPr>
              <w:t>以上监测测量显示能源绩效及能源管理体系运行满足要求。</w:t>
            </w:r>
          </w:p>
        </w:tc>
        <w:tc>
          <w:tcPr>
            <w:tcW w:w="862"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管理评审</w:t>
            </w:r>
          </w:p>
        </w:tc>
        <w:tc>
          <w:tcPr>
            <w:tcW w:w="957" w:type="dxa"/>
            <w:vAlign w:val="top"/>
          </w:tcPr>
          <w:p>
            <w:pPr>
              <w:rPr>
                <w:rFonts w:hint="eastAsia" w:ascii="宋体" w:hAnsi="宋体" w:eastAsia="宋体" w:cs="Times New Roman"/>
                <w:b/>
                <w:bCs/>
                <w:kern w:val="2"/>
                <w:sz w:val="21"/>
                <w:szCs w:val="21"/>
                <w:lang w:val="en-US" w:eastAsia="zh-CN" w:bidi="ar-SA"/>
              </w:rPr>
            </w:pPr>
            <w:r>
              <w:rPr>
                <w:rFonts w:hint="eastAsia" w:ascii="宋体" w:hAnsi="宋体"/>
                <w:szCs w:val="21"/>
              </w:rPr>
              <w:t>9.3</w:t>
            </w: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该公司制定了《管理评审程序》，由总经理负责定期组织能源管理体系的管理评审，对能源管理体系的持续有效性、适宜性和充分性进行评价。</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lang w:val="en-US" w:eastAsia="zh-CN"/>
              </w:rPr>
              <w:t>要求</w:t>
            </w:r>
            <w:r>
              <w:rPr>
                <w:rFonts w:hint="eastAsia"/>
              </w:rPr>
              <w:t>一年至少要进行一次管理评审，由总经理主持。特殊情况下，可增加管理评审频次。评审内容包括：内审结果；管理方针和目标的适宜性；过程的控制情况；改进的需求、</w:t>
            </w:r>
            <w:r>
              <w:rPr>
                <w:rFonts w:hint="eastAsia"/>
                <w:lang w:val="en-US" w:eastAsia="zh-CN"/>
              </w:rPr>
              <w:t>能源</w:t>
            </w:r>
            <w:r>
              <w:rPr>
                <w:rFonts w:hint="eastAsia"/>
              </w:rPr>
              <w:t>绩效；合规性评价等。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rPr>
              <w:t>查管理评审</w:t>
            </w:r>
            <w:r>
              <w:rPr>
                <w:rFonts w:hint="eastAsia"/>
                <w:lang w:val="en-US" w:eastAsia="zh-CN"/>
              </w:rPr>
              <w:t>资料汇编，包括管理评审</w:t>
            </w:r>
            <w:r>
              <w:rPr>
                <w:rFonts w:hint="eastAsia"/>
              </w:rPr>
              <w:t>计划</w:t>
            </w:r>
            <w:r>
              <w:rPr>
                <w:rFonts w:hint="eastAsia"/>
                <w:lang w:eastAsia="zh-CN"/>
              </w:rPr>
              <w:t>、</w:t>
            </w:r>
            <w:r>
              <w:rPr>
                <w:rFonts w:hint="eastAsia"/>
                <w:lang w:val="en-US" w:eastAsia="zh-CN"/>
              </w:rPr>
              <w:t>管理评审会议通知、会议签到表、各部门管理评审材料、管理评审报告、管理评审整改措施实施计划等。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rPr>
            </w:pPr>
            <w:r>
              <w:rPr>
                <w:rFonts w:hint="eastAsia"/>
                <w:lang w:val="en-US" w:eastAsia="zh-CN"/>
              </w:rPr>
              <w:t>查看管理评审计划：</w:t>
            </w:r>
            <w:r>
              <w:rPr>
                <w:rFonts w:hint="eastAsia"/>
              </w:rPr>
              <w:t>管理评</w:t>
            </w:r>
            <w:r>
              <w:rPr>
                <w:rFonts w:hint="default"/>
              </w:rPr>
              <w:t>审的时间：2</w:t>
            </w:r>
            <w:r>
              <w:rPr>
                <w:rFonts w:hint="default" w:ascii="Times New Roman" w:hAnsi="Times New Roman" w:cs="Times New Roman"/>
              </w:rPr>
              <w:t>0</w:t>
            </w:r>
            <w:r>
              <w:rPr>
                <w:rFonts w:hint="eastAsia" w:ascii="Times New Roman" w:hAnsi="Times New Roman" w:cs="Times New Roman"/>
                <w:lang w:val="en-US" w:eastAsia="zh-CN"/>
              </w:rPr>
              <w:t>21</w:t>
            </w:r>
            <w:r>
              <w:rPr>
                <w:rFonts w:hint="default" w:ascii="Times New Roman" w:hAnsi="Times New Roman" w:cs="Times New Roman"/>
              </w:rPr>
              <w:t>年</w:t>
            </w:r>
            <w:r>
              <w:rPr>
                <w:rFonts w:hint="eastAsia" w:ascii="Times New Roman" w:hAnsi="Times New Roman" w:cs="Times New Roman"/>
                <w:lang w:val="en-US" w:eastAsia="zh-CN"/>
              </w:rPr>
              <w:t>11月10日</w:t>
            </w:r>
            <w:r>
              <w:rPr>
                <w:rFonts w:hint="default" w:ascii="Times New Roman" w:hAnsi="Times New Roman" w:cs="Times New Roman"/>
              </w:rPr>
              <w:t>主</w:t>
            </w:r>
            <w:r>
              <w:rPr>
                <w:rFonts w:hint="default"/>
              </w:rPr>
              <w:t xml:space="preserve">持人：总经理    参加人：领导层、各部门负责人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rPr>
            </w:pPr>
            <w:r>
              <w:rPr>
                <w:rFonts w:hint="default"/>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lang w:val="en-US" w:eastAsia="zh-CN"/>
              </w:rPr>
            </w:pPr>
            <w:r>
              <w:rPr>
                <w:rFonts w:hint="default"/>
              </w:rPr>
              <w:t>编制：</w:t>
            </w:r>
            <w:r>
              <w:rPr>
                <w:rFonts w:hint="eastAsia" w:cs="Times New Roman"/>
                <w:szCs w:val="22"/>
                <w:lang w:eastAsia="zh-CN"/>
              </w:rPr>
              <w:t>龚莉</w:t>
            </w:r>
            <w:r>
              <w:rPr>
                <w:rFonts w:hint="default"/>
              </w:rPr>
              <w:t xml:space="preserve"> 日期：20</w:t>
            </w:r>
            <w:r>
              <w:rPr>
                <w:rFonts w:hint="eastAsia"/>
                <w:lang w:val="en-US" w:eastAsia="zh-CN"/>
              </w:rPr>
              <w:t>21</w:t>
            </w:r>
            <w:r>
              <w:rPr>
                <w:rFonts w:hint="default"/>
              </w:rPr>
              <w:t>年</w:t>
            </w:r>
            <w:r>
              <w:rPr>
                <w:rFonts w:hint="eastAsia"/>
                <w:lang w:val="en-US" w:eastAsia="zh-CN"/>
              </w:rPr>
              <w:t>11</w:t>
            </w:r>
            <w:r>
              <w:rPr>
                <w:rFonts w:hint="default"/>
              </w:rPr>
              <w:t>月</w:t>
            </w:r>
            <w:r>
              <w:rPr>
                <w:rFonts w:hint="eastAsia"/>
                <w:lang w:val="en-US" w:eastAsia="zh-CN"/>
              </w:rPr>
              <w:t>8</w:t>
            </w:r>
            <w:r>
              <w:rPr>
                <w:rFonts w:hint="default"/>
              </w:rPr>
              <w:t xml:space="preserve">日   </w:t>
            </w:r>
            <w:r>
              <w:rPr>
                <w:rFonts w:hint="eastAsia"/>
                <w:lang w:val="en-US" w:eastAsia="zh-CN"/>
              </w:rPr>
              <w:t xml:space="preserve">  批准：周翔 </w:t>
            </w:r>
            <w:r>
              <w:rPr>
                <w:rFonts w:hint="default"/>
              </w:rPr>
              <w:t>日期：20</w:t>
            </w:r>
            <w:r>
              <w:rPr>
                <w:rFonts w:hint="eastAsia"/>
                <w:lang w:val="en-US" w:eastAsia="zh-CN"/>
              </w:rPr>
              <w:t>21</w:t>
            </w:r>
            <w:r>
              <w:rPr>
                <w:rFonts w:hint="default"/>
              </w:rPr>
              <w:t>年</w:t>
            </w:r>
            <w:r>
              <w:rPr>
                <w:rFonts w:hint="eastAsia"/>
                <w:lang w:val="en-US" w:eastAsia="zh-CN"/>
              </w:rPr>
              <w:t>11月10</w:t>
            </w:r>
            <w:r>
              <w:rPr>
                <w:rFonts w:hint="default"/>
              </w:rPr>
              <w:t>日</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Cs w:val="22"/>
              </w:rPr>
            </w:pPr>
            <w:r>
              <w:rPr>
                <w:rFonts w:hint="default"/>
              </w:rPr>
              <w:t>查看管理评审输入的资</w:t>
            </w:r>
            <w:r>
              <w:rPr>
                <w:rFonts w:hint="default" w:ascii="Times New Roman" w:hAnsi="Times New Roman" w:eastAsia="宋体" w:cs="Times New Roman"/>
                <w:szCs w:val="22"/>
              </w:rPr>
              <w:t>料：a.</w:t>
            </w:r>
            <w:r>
              <w:rPr>
                <w:rFonts w:hint="eastAsia" w:ascii="Times New Roman" w:hAnsi="Times New Roman" w:eastAsia="宋体" w:cs="Times New Roman"/>
                <w:szCs w:val="22"/>
              </w:rPr>
              <w:t>以往管理评审所采取措施的状况；</w:t>
            </w:r>
            <w:r>
              <w:rPr>
                <w:rFonts w:hint="default" w:ascii="Times New Roman" w:hAnsi="Times New Roman" w:eastAsia="宋体" w:cs="Times New Roman"/>
                <w:szCs w:val="22"/>
              </w:rPr>
              <w:t>b.</w:t>
            </w:r>
            <w:r>
              <w:rPr>
                <w:rFonts w:hint="eastAsia" w:ascii="Times New Roman" w:hAnsi="Times New Roman" w:eastAsia="宋体" w:cs="Times New Roman"/>
                <w:szCs w:val="22"/>
              </w:rPr>
              <w:t>与能源管理体系相关的内、外部因素以及相关的风险和机遇的变化。</w:t>
            </w:r>
            <w:r>
              <w:rPr>
                <w:rFonts w:hint="default" w:ascii="Times New Roman" w:hAnsi="Times New Roman" w:eastAsia="宋体" w:cs="Times New Roman"/>
                <w:szCs w:val="22"/>
              </w:rPr>
              <w:t>c.</w:t>
            </w:r>
            <w:r>
              <w:rPr>
                <w:rFonts w:hint="eastAsia" w:ascii="Times New Roman" w:hAnsi="Times New Roman" w:eastAsia="宋体" w:cs="Times New Roman"/>
                <w:szCs w:val="22"/>
              </w:rPr>
              <w:t>有关能源管理体系绩效方面的信息，包括其趋势</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不符合和纠正措施；监视和测量结果；审核结果；法律法规和其他要求的符合性评价结果；</w:t>
            </w:r>
            <w:r>
              <w:rPr>
                <w:rFonts w:hint="default" w:ascii="Times New Roman" w:hAnsi="Times New Roman" w:eastAsia="宋体" w:cs="Times New Roman"/>
                <w:szCs w:val="22"/>
              </w:rPr>
              <w:t>d.</w:t>
            </w:r>
            <w:r>
              <w:rPr>
                <w:rFonts w:hint="eastAsia" w:ascii="Times New Roman" w:hAnsi="Times New Roman" w:eastAsia="宋体" w:cs="Times New Roman"/>
                <w:szCs w:val="22"/>
              </w:rPr>
              <w:t>持续改进的机会，包括人员能力。</w:t>
            </w:r>
            <w:r>
              <w:rPr>
                <w:rFonts w:hint="default" w:ascii="Times New Roman" w:hAnsi="Times New Roman" w:eastAsia="宋体" w:cs="Times New Roman"/>
                <w:szCs w:val="22"/>
              </w:rPr>
              <w:t>e.</w:t>
            </w:r>
            <w:r>
              <w:rPr>
                <w:rFonts w:hint="eastAsia" w:ascii="Times New Roman" w:hAnsi="Times New Roman" w:eastAsia="宋体" w:cs="Times New Roman"/>
                <w:szCs w:val="22"/>
              </w:rPr>
              <w:t>能源方针。</w:t>
            </w:r>
            <w:r>
              <w:rPr>
                <w:rFonts w:hint="default" w:ascii="Times New Roman" w:hAnsi="Times New Roman" w:eastAsia="宋体" w:cs="Times New Roman"/>
                <w:szCs w:val="22"/>
              </w:rPr>
              <w:t>f.</w:t>
            </w:r>
            <w:r>
              <w:rPr>
                <w:rFonts w:hint="eastAsia" w:ascii="Times New Roman" w:hAnsi="Times New Roman" w:eastAsia="宋体" w:cs="Times New Roman"/>
                <w:szCs w:val="22"/>
              </w:rPr>
              <w:t>源绩效</w:t>
            </w:r>
            <w:r>
              <w:rPr>
                <w:rFonts w:hint="eastAsia" w:ascii="Times New Roman" w:hAnsi="Times New Roman" w:eastAsia="宋体" w:cs="Times New Roman"/>
                <w:szCs w:val="22"/>
                <w:lang w:val="en-US" w:eastAsia="zh-CN"/>
              </w:rPr>
              <w:t>有关的信息，</w:t>
            </w:r>
            <w:r>
              <w:rPr>
                <w:rFonts w:hint="eastAsia" w:ascii="Times New Roman" w:hAnsi="Times New Roman" w:eastAsia="宋体" w:cs="Times New Roman"/>
                <w:szCs w:val="22"/>
              </w:rPr>
              <w:t>应包括</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目标和能源指标的实现程度；基于监视和测量结果（包括能源绩效参数）的能源绩效和能源绩效改进；措施计划的状</w:t>
            </w:r>
            <w:r>
              <w:rPr>
                <w:rFonts w:hint="eastAsia" w:ascii="Times New Roman" w:hAnsi="Times New Roman" w:eastAsia="宋体" w:cs="Times New Roman"/>
                <w:szCs w:val="22"/>
                <w:lang w:val="en-US" w:eastAsia="zh-CN"/>
              </w:rPr>
              <w:t>等</w:t>
            </w:r>
            <w:r>
              <w:rPr>
                <w:rFonts w:hint="eastAsia" w:ascii="Times New Roman" w:hAnsi="Times New Roman" w:eastAsia="宋体" w:cs="Times New Roman"/>
                <w:szCs w:val="22"/>
              </w:rPr>
              <w:t>。输入内容基本符合标准要求。</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rPr>
              <w:t>提</w:t>
            </w:r>
            <w:r>
              <w:rPr>
                <w:rFonts w:hint="eastAsia" w:ascii="Times New Roman" w:hAnsi="Times New Roman" w:eastAsia="宋体" w:cs="Times New Roman"/>
                <w:szCs w:val="22"/>
              </w:rPr>
              <w:t>供管理评审会议记录：管理评审内容：以往管理评审后续措施实施情况；能源管理方针的适宜性；能源绩效和相关能源绩效参数适宜性及符合性；本</w:t>
            </w:r>
            <w:r>
              <w:rPr>
                <w:rFonts w:hint="eastAsia" w:ascii="Times New Roman" w:hAnsi="Times New Roman" w:eastAsia="宋体" w:cs="Times New Roman"/>
                <w:szCs w:val="22"/>
                <w:lang w:eastAsia="zh-CN"/>
              </w:rPr>
              <w:t>公司</w:t>
            </w:r>
            <w:r>
              <w:rPr>
                <w:rFonts w:hint="eastAsia" w:ascii="Times New Roman" w:hAnsi="Times New Roman" w:eastAsia="宋体" w:cs="Times New Roman"/>
                <w:szCs w:val="22"/>
              </w:rPr>
              <w:t>应遵循的法律法规和其他要求的变化以及合规性评价的结果；能源目标、指标和管理实施方案的实现程度；能源管理体系的内部审核结果；纠正措施和预防措施的实施情况；对下一阶段能源绩效的规划及管理体系运行的重点工作；相关方关注的问题及能源管理体系改进建议等；改进的建议。</w:t>
            </w:r>
            <w:r>
              <w:rPr>
                <w:rFonts w:hint="eastAsia"/>
              </w:rPr>
              <w:t>各部门负责人汇报了各部门的管理体系运行情况，管理者代表汇报了公司管理体系运行状况和内审不合格的整改情况，参会人员根据各部门的汇报情况展开讨论，总经理总结，同时就改进的决议作出了安排。</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rPr>
            </w:pPr>
            <w:r>
              <w:rPr>
                <w:rFonts w:hint="eastAsia"/>
              </w:rPr>
              <w:t>查看管理评审报告，批准：</w:t>
            </w:r>
            <w:r>
              <w:rPr>
                <w:rFonts w:hint="eastAsia"/>
                <w:lang w:val="en-US" w:eastAsia="zh-CN"/>
              </w:rPr>
              <w:t xml:space="preserve">留建藤 </w:t>
            </w:r>
            <w:r>
              <w:rPr>
                <w:rFonts w:hint="default"/>
              </w:rPr>
              <w:t>20</w:t>
            </w:r>
            <w:r>
              <w:rPr>
                <w:rFonts w:hint="eastAsia"/>
                <w:lang w:val="en-US" w:eastAsia="zh-CN"/>
              </w:rPr>
              <w:t>21</w:t>
            </w:r>
            <w:r>
              <w:rPr>
                <w:rFonts w:hint="default"/>
              </w:rPr>
              <w:t>年</w:t>
            </w:r>
            <w:r>
              <w:rPr>
                <w:rFonts w:hint="eastAsia"/>
                <w:lang w:val="en-US" w:eastAsia="zh-CN"/>
              </w:rPr>
              <w:t>11</w:t>
            </w:r>
            <w:r>
              <w:rPr>
                <w:rFonts w:hint="default"/>
              </w:rPr>
              <w:t>月</w:t>
            </w:r>
            <w:r>
              <w:rPr>
                <w:rFonts w:hint="eastAsia"/>
                <w:lang w:val="en-US" w:eastAsia="zh-CN"/>
              </w:rPr>
              <w:t>10</w:t>
            </w:r>
            <w:r>
              <w:rPr>
                <w:rFonts w:hint="default"/>
              </w:rPr>
              <w:t>日</w:t>
            </w:r>
          </w:p>
          <w:p>
            <w:pPr>
              <w:pStyle w:val="4"/>
              <w:keepNext w:val="0"/>
              <w:keepLines w:val="0"/>
              <w:pageBreakBefore w:val="0"/>
              <w:widowControl w:val="0"/>
              <w:kinsoku/>
              <w:wordWrap/>
              <w:overflowPunct/>
              <w:topLinePunct w:val="0"/>
              <w:autoSpaceDE/>
              <w:autoSpaceDN/>
              <w:bidi w:val="0"/>
              <w:adjustRightInd/>
              <w:snapToGrid/>
              <w:spacing w:before="157" w:beforeLines="50" w:after="0" w:line="240" w:lineRule="auto"/>
              <w:ind w:left="0" w:leftChars="0" w:firstLine="0" w:firstLineChars="0"/>
              <w:textAlignment w:val="auto"/>
              <w:rPr>
                <w:rFonts w:hint="eastAsia"/>
                <w:lang w:val="en-US" w:eastAsia="zh-CN"/>
              </w:rPr>
            </w:pPr>
            <w:r>
              <w:rPr>
                <w:rFonts w:hint="eastAsia" w:ascii="Times New Roman" w:hAnsi="Times New Roman" w:eastAsia="宋体" w:cs="Times New Roman"/>
                <w:kern w:val="2"/>
                <w:sz w:val="21"/>
                <w:szCs w:val="22"/>
                <w:lang w:val="en-US" w:eastAsia="zh-CN" w:bidi="ar-SA"/>
              </w:rPr>
              <w:t>管理评审会认为：通过上述评审表明，公司建立的能源管理体系自我完善机制健全；能源管理体系运行良好；建立的能源方针是适宜的不需要进行调整，其他资源充分能够保证体系的正常运行和持续改进。综上所述，本公司建立的能源管理体系是充分、适宜和有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b w:val="0"/>
                <w:bCs/>
                <w:sz w:val="21"/>
                <w:szCs w:val="21"/>
                <w:lang w:val="en-US" w:eastAsia="zh-CN"/>
              </w:rPr>
              <w:t>符合要求。</w:t>
            </w:r>
          </w:p>
        </w:tc>
        <w:tc>
          <w:tcPr>
            <w:tcW w:w="862"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160" w:type="dxa"/>
            <w:vAlign w:val="top"/>
          </w:tcPr>
          <w:p>
            <w:pPr>
              <w:rPr>
                <w:rFonts w:hint="eastAsia"/>
              </w:rPr>
            </w:pPr>
            <w:r>
              <w:rPr>
                <w:rFonts w:hint="eastAsia"/>
                <w:lang w:val="en-US" w:eastAsia="zh-CN"/>
              </w:rPr>
              <w:t>不符合纠正及</w:t>
            </w:r>
            <w:r>
              <w:rPr>
                <w:rFonts w:hint="eastAsia"/>
              </w:rPr>
              <w:t>持续改进</w:t>
            </w:r>
          </w:p>
          <w:p>
            <w:pPr>
              <w:pStyle w:val="14"/>
              <w:rPr>
                <w:rFonts w:hint="eastAsia"/>
                <w:lang w:val="en-US" w:eastAsia="zh-CN"/>
              </w:rPr>
            </w:pPr>
          </w:p>
        </w:tc>
        <w:tc>
          <w:tcPr>
            <w:tcW w:w="95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宋体" w:hAnsi="宋体" w:eastAsia="宋体" w:cs="Times New Roman"/>
                <w:szCs w:val="21"/>
                <w:lang w:val="en-US" w:eastAsia="zh-CN"/>
              </w:rPr>
            </w:pPr>
            <w:r>
              <w:rPr>
                <w:rFonts w:hint="eastAsia" w:ascii="宋体" w:hAnsi="宋体" w:cs="Times New Roman"/>
                <w:szCs w:val="21"/>
                <w:lang w:val="en-US" w:eastAsia="zh-CN"/>
              </w:rPr>
              <w:t>10.1/</w:t>
            </w:r>
            <w:r>
              <w:rPr>
                <w:rFonts w:hint="eastAsia" w:ascii="宋体" w:hAnsi="宋体" w:eastAsia="宋体" w:cs="Times New Roman"/>
                <w:szCs w:val="21"/>
              </w:rPr>
              <w:t xml:space="preserve">10.2 </w:t>
            </w: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宋体"/>
                <w:szCs w:val="22"/>
                <w:lang w:eastAsia="zh-CN"/>
              </w:rPr>
            </w:pPr>
            <w:r>
              <w:rPr>
                <w:rFonts w:hint="eastAsia" w:ascii="Times New Roman" w:hAnsi="Times New Roman" w:eastAsia="宋体" w:cs="宋体"/>
                <w:szCs w:val="22"/>
                <w:lang w:eastAsia="zh-CN"/>
              </w:rPr>
              <w:t>为消除潜在的不符合，防止其再发生，公司应识别实施预防措施。公司须从下列来源中识别潜在的不符合：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eastAsia="宋体" w:cs="宋体"/>
                <w:szCs w:val="22"/>
                <w:lang w:eastAsia="zh-CN"/>
              </w:rPr>
              <w:t>管理评审；测量与监控；数据分析；</w:t>
            </w:r>
            <w:r>
              <w:rPr>
                <w:rFonts w:hint="eastAsia" w:ascii="Times New Roman" w:hAnsi="Times New Roman" w:eastAsia="宋体" w:cs="宋体"/>
                <w:szCs w:val="22"/>
                <w:lang w:val="en-US" w:eastAsia="zh-CN"/>
              </w:rPr>
              <w:t>能源使用</w:t>
            </w:r>
            <w:r>
              <w:rPr>
                <w:rFonts w:hint="eastAsia" w:ascii="Times New Roman" w:hAnsi="Times New Roman" w:eastAsia="宋体" w:cs="宋体"/>
                <w:szCs w:val="22"/>
                <w:lang w:eastAsia="zh-CN"/>
              </w:rPr>
              <w:t>方面的相关方</w:t>
            </w:r>
            <w:r>
              <w:rPr>
                <w:rFonts w:hint="eastAsia" w:ascii="Times New Roman" w:hAnsi="Times New Roman" w:eastAsia="宋体" w:cs="宋体"/>
                <w:szCs w:val="22"/>
                <w:lang w:val="en-US" w:eastAsia="zh-CN"/>
              </w:rPr>
              <w:t>要求</w:t>
            </w:r>
            <w:r>
              <w:rPr>
                <w:rFonts w:hint="eastAsia" w:ascii="Times New Roman" w:hAnsi="Times New Roman" w:eastAsia="宋体" w:cs="宋体"/>
                <w:szCs w:val="22"/>
                <w:lang w:eastAsia="zh-CN"/>
              </w:rPr>
              <w:t>；明确职责传递潜在不符合信息；调查，分析，确认潜在不符合的原因；评估，制定与潜在不符合相适应的预防措施；实施所制定的预防措施，防止潜在不符合的发生；明确职责，跟踪验证，评审预防措施实施的有效性；记录预防措施的制定，实施和效果。</w:t>
            </w:r>
            <w:r>
              <w:rPr>
                <w:rFonts w:hint="eastAsia" w:cs="宋体"/>
              </w:rPr>
              <w:t>内容基本符合标准要求。</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pPr>
            <w:r>
              <w:rPr>
                <w:rFonts w:hint="eastAsia" w:cs="宋体"/>
              </w:rPr>
              <w:t>对日常工作检查，管理评审，内审，其他考评，合规性评价发现的不符合采取纠正，防止事态发展，进行原因分析，采取必要的纠正预防措施，防止事件的发生、再发生。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eastAsia="宋体" w:cs="Times New Roman"/>
                <w:kern w:val="2"/>
                <w:sz w:val="21"/>
                <w:szCs w:val="22"/>
                <w:lang w:val="en-US" w:eastAsia="zh-CN" w:bidi="ar-SA"/>
              </w:rPr>
            </w:pPr>
            <w:r>
              <w:rPr>
                <w:rFonts w:hint="eastAsia" w:cs="宋体"/>
              </w:rPr>
              <w:t>对管理评审、内审提出的不符合及改进要求，进行原因分析，制定了具体措施，目前已实施完成。</w:t>
            </w:r>
          </w:p>
        </w:tc>
        <w:tc>
          <w:tcPr>
            <w:tcW w:w="862" w:type="dxa"/>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cs="宋体"/>
                <w:szCs w:val="22"/>
                <w:lang w:val="en-US" w:eastAsia="zh-CN"/>
              </w:rPr>
            </w:pPr>
            <w:r>
              <w:rPr>
                <w:rFonts w:hint="eastAsia" w:ascii="Times New Roman" w:hAnsi="Times New Roman" w:cs="宋体"/>
                <w:szCs w:val="22"/>
                <w:lang w:val="en-US" w:eastAsia="zh-CN"/>
              </w:rPr>
              <w:t>管理层有关的管理体系控制及运行活动等</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cs="宋体"/>
                <w:szCs w:val="22"/>
                <w:lang w:val="en-US" w:eastAsia="zh-CN"/>
              </w:rPr>
            </w:pPr>
            <w:r>
              <w:rPr>
                <w:rFonts w:hint="eastAsia" w:ascii="Times New Roman" w:hAnsi="Times New Roman" w:cs="宋体"/>
                <w:szCs w:val="22"/>
                <w:lang w:val="en-US" w:eastAsia="zh-CN"/>
              </w:rPr>
              <w:t>（国家/地方监督抽查情况；相关方投诉及处理情况；一阶段问题验证，验证企业相关资质证明的有效性；）</w:t>
            </w:r>
          </w:p>
        </w:tc>
        <w:tc>
          <w:tcPr>
            <w:tcW w:w="957" w:type="dxa"/>
            <w:vAlign w:val="top"/>
          </w:tcPr>
          <w:p>
            <w:pPr>
              <w:rPr>
                <w:rFonts w:hint="eastAsia" w:ascii="宋体" w:hAnsi="宋体" w:eastAsia="宋体" w:cs="Times New Roman"/>
                <w:szCs w:val="21"/>
              </w:rPr>
            </w:pPr>
          </w:p>
        </w:tc>
        <w:tc>
          <w:tcPr>
            <w:tcW w:w="10730" w:type="dxa"/>
            <w:vAlign w:val="top"/>
          </w:tcPr>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lang w:val="en-US" w:eastAsia="zh-CN"/>
              </w:rPr>
            </w:pPr>
            <w:r>
              <w:rPr>
                <w:rFonts w:hint="eastAsia"/>
                <w:lang w:val="en-US" w:eastAsia="zh-CN"/>
              </w:rPr>
              <w:t>国家/地方监督抽查情况：无相关节能或能源管理监督检查</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lang w:val="en-US" w:eastAsia="zh-CN"/>
              </w:rPr>
            </w:pPr>
            <w:r>
              <w:rPr>
                <w:rFonts w:hint="eastAsia"/>
                <w:lang w:val="en-US" w:eastAsia="zh-CN"/>
              </w:rPr>
              <w:t>相关方投诉及处理情况：无投诉</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lang w:val="en-US" w:eastAsia="zh-CN"/>
              </w:rPr>
            </w:pPr>
            <w:r>
              <w:rPr>
                <w:rFonts w:hint="eastAsia"/>
                <w:lang w:val="en-US" w:eastAsia="zh-CN"/>
              </w:rPr>
              <w:t>一阶段问题验证：已整改</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lang w:val="en-US" w:eastAsia="zh-CN"/>
              </w:rPr>
            </w:pPr>
            <w:r>
              <w:rPr>
                <w:rFonts w:hint="eastAsia"/>
                <w:lang w:val="en-US" w:eastAsia="zh-CN"/>
              </w:rPr>
              <w:t>验证企业相关资质证明的有效性：查《营业执照》复印件编号：</w:t>
            </w:r>
            <w:r>
              <w:rPr>
                <w:rFonts w:hint="eastAsia"/>
                <w:color w:val="000000"/>
                <w:szCs w:val="21"/>
                <w:u w:val="none"/>
                <w:lang w:val="en-US" w:eastAsia="zh-CN"/>
              </w:rPr>
              <w:t>91510112MA64PW873P</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lang w:val="en-US" w:eastAsia="zh-CN"/>
              </w:rPr>
            </w:pPr>
            <w:r>
              <w:rPr>
                <w:rFonts w:hint="eastAsia"/>
                <w:lang w:val="en-US" w:eastAsia="zh-CN"/>
              </w:rPr>
              <w:t>有效期：</w:t>
            </w:r>
            <w:r>
              <w:rPr>
                <w:rFonts w:hint="eastAsia"/>
                <w:color w:val="000000"/>
                <w:szCs w:val="21"/>
                <w:u w:val="none"/>
                <w:lang w:val="en-US" w:eastAsia="zh-CN"/>
              </w:rPr>
              <w:t>2021年5月8日至长期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ascii="Times New Roman" w:hAnsi="Times New Roman" w:cs="Times New Roman"/>
                <w:lang w:val="en-US" w:eastAsia="zh-CN"/>
              </w:rPr>
            </w:pPr>
            <w:r>
              <w:rPr>
                <w:rFonts w:hint="eastAsia"/>
                <w:lang w:val="en-US" w:eastAsia="zh-CN"/>
              </w:rPr>
              <w:t>营业执照经营范围的相关描述：</w:t>
            </w:r>
            <w:r>
              <w:rPr>
                <w:rFonts w:hint="eastAsia" w:ascii="Times New Roman" w:hAnsi="Times New Roman" w:cs="Times New Roman"/>
                <w:lang w:val="en-US" w:eastAsia="zh-CN"/>
              </w:rPr>
              <w:t xml:space="preserve"> 成都尚光电子有限公司,2021年05月08日成立，经营范围包括一般项目：电子元器件制造；音响设备制造；音响设备销售；广播电视设备制造（不含广播电视传输设备）；广播影视设备销售；办公设备销售；办公设备耗材制造；影视录放设备制造；机械设备销售；机械设备研发；普通机械设备安装服务；照明器具制造；照明器具销售；照明器具生产专用设备销售；照明器具生产专用设备制造；显示器件制造；半导体照明器件制造；半导体器件专用设备制造；半导体照明器件销售；显示器件销售；半导体器件专用设备销售；电子元器件零售；光通信设备销售；光通信设备制造；通信设备制造；光电子器件制造；其他电子器件制造；复印和胶印设备制造；复印和胶印设备销售；电子（气）物理设备及其他电子设备制造；幻灯及投影设备制造；幻灯及投影设备销售；数字视频监控系统销售；数字视频监控系统制造；安防设备制造；安防设备销售；物联网设备制造；物联网设备销售；通信设备销售；移动通信设备销售；广播电视传输设备销售；网络设备销售；网络设备制造；电子产品销售；家用电器销售；家用电器研发；计算机软硬件及外围设备制造；计算机软硬件及辅助设备零售；智能基础制造装备制造；智能基础制造装备销售；可穿戴智能设备制造；可穿戴智能设备销售；移动终端设备制造；移动终端设备销售；终端测试设备制造；消防器材销售；安全、消防用金属制品制造；软件开发；人工智能应用软件开发；网络与信息安全软件开发；信息系统集成服务；计算机系统服务；电子专用材料研发；大数据服务；数据处理和存储支持服务；安全系统监控服务；安全技术防范系统设计施工服务；电子、机械设备维护（不含特种设备）；停车场服务；数字文化创意内容应用服务；环境保护监测；市政设施管理；工程管理服务；广告设计、代理；广告制作；平面设计（除依法须经批准的项目外，凭营业执照依法自主开展经营活动）。许可项目：建设工程施工；建设工程设计；建筑智能化工程施工；住宅室内装饰装修（依法须经批准的项目，经相关部门批准后方可开展经营活动，具体经营项目以相关部门批准文件或许可证件为准）。 </w:t>
            </w:r>
          </w:p>
          <w:p>
            <w:pPr>
              <w:pStyle w:val="14"/>
              <w:rPr>
                <w:rFonts w:hint="default" w:eastAsia="宋体"/>
                <w:lang w:val="en-US" w:eastAsia="zh-CN"/>
              </w:rPr>
            </w:pPr>
            <w:r>
              <w:rPr>
                <w:rFonts w:hint="eastAsia" w:ascii="Times New Roman" w:hAnsi="Times New Roman" w:eastAsia="宋体" w:cs="Times New Roman"/>
                <w:bCs w:val="0"/>
                <w:spacing w:val="0"/>
                <w:kern w:val="2"/>
                <w:sz w:val="21"/>
                <w:szCs w:val="22"/>
                <w:lang w:val="en-US" w:eastAsia="zh-CN" w:bidi="ar-SA"/>
              </w:rPr>
              <w:t>证件及相关证明有效。</w:t>
            </w:r>
          </w:p>
        </w:tc>
        <w:tc>
          <w:tcPr>
            <w:tcW w:w="862" w:type="dxa"/>
          </w:tcPr>
          <w:p>
            <w:pPr>
              <w:rPr>
                <w:rFonts w:hint="eastAsia"/>
                <w:lang w:val="en-US" w:eastAsia="zh-CN"/>
              </w:rPr>
            </w:pPr>
          </w:p>
        </w:tc>
      </w:tr>
    </w:tbl>
    <w:p>
      <w:pPr>
        <w:jc w:val="both"/>
        <w:rPr>
          <w:rFonts w:hint="eastAsia"/>
        </w:rPr>
      </w:pPr>
      <w:r>
        <w:rPr>
          <w:rFonts w:hint="eastAsia"/>
        </w:rPr>
        <w:t>说明：不符合标注N</w:t>
      </w: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52"/>
        <w:gridCol w:w="2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72"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综合部</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highlight w:val="none"/>
                <w:lang w:val="en-US" w:eastAsia="zh-CN"/>
              </w:rPr>
              <w:t xml:space="preserve">龚莉           </w:t>
            </w:r>
            <w:r>
              <w:rPr>
                <w:sz w:val="24"/>
                <w:szCs w:val="24"/>
              </w:rPr>
              <w:t xml:space="preserve"> </w:t>
            </w:r>
            <w:r>
              <w:rPr>
                <w:rFonts w:hint="eastAsia"/>
                <w:sz w:val="24"/>
                <w:szCs w:val="24"/>
              </w:rPr>
              <w:t>陪同人员：</w:t>
            </w:r>
            <w:r>
              <w:rPr>
                <w:rFonts w:hint="eastAsia"/>
                <w:sz w:val="24"/>
                <w:szCs w:val="24"/>
                <w:lang w:val="en-US" w:eastAsia="zh-CN"/>
              </w:rPr>
              <w:t>周翔</w:t>
            </w:r>
          </w:p>
        </w:tc>
        <w:tc>
          <w:tcPr>
            <w:tcW w:w="7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72" w:type="dxa"/>
            <w:gridSpan w:val="2"/>
            <w:vAlign w:val="center"/>
          </w:tcPr>
          <w:p>
            <w:pPr>
              <w:spacing w:before="120"/>
            </w:pPr>
            <w:r>
              <w:rPr>
                <w:rFonts w:hint="eastAsia"/>
                <w:sz w:val="24"/>
                <w:szCs w:val="24"/>
              </w:rPr>
              <w:t>审核员：</w:t>
            </w:r>
            <w:r>
              <w:rPr>
                <w:rFonts w:hint="eastAsia"/>
                <w:sz w:val="24"/>
                <w:szCs w:val="24"/>
                <w:lang w:val="en-US" w:eastAsia="zh-CN"/>
              </w:rPr>
              <w:t>周涛、李俊强</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t>2021年1</w:t>
            </w:r>
            <w:r>
              <w:rPr>
                <w:rFonts w:hint="eastAsia"/>
                <w:lang w:val="en-US" w:eastAsia="zh-CN"/>
              </w:rPr>
              <w:t>2</w:t>
            </w:r>
            <w:r>
              <w:t>月</w:t>
            </w:r>
            <w:r>
              <w:rPr>
                <w:rFonts w:hint="eastAsia"/>
                <w:lang w:val="en-US" w:eastAsia="zh-CN"/>
              </w:rPr>
              <w:t>21</w:t>
            </w:r>
            <w:r>
              <w:t xml:space="preserve">日 </w:t>
            </w:r>
          </w:p>
        </w:tc>
        <w:tc>
          <w:tcPr>
            <w:tcW w:w="7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72" w:type="dxa"/>
            <w:gridSpan w:val="2"/>
            <w:vAlign w:val="center"/>
          </w:tcPr>
          <w:p>
            <w:pPr>
              <w:spacing w:line="300" w:lineRule="exact"/>
              <w:rPr>
                <w:rFonts w:hint="eastAsia" w:eastAsia="宋体"/>
                <w:sz w:val="24"/>
                <w:szCs w:val="24"/>
                <w:lang w:val="en-US" w:eastAsia="zh-CN"/>
              </w:rPr>
            </w:pPr>
            <w:r>
              <w:rPr>
                <w:rFonts w:hint="eastAsia"/>
                <w:sz w:val="24"/>
                <w:szCs w:val="24"/>
              </w:rPr>
              <w:t>审核条款：</w:t>
            </w:r>
            <w:r>
              <w:rPr>
                <w:rFonts w:hint="eastAsia" w:ascii="宋体" w:hAnsi="宋体" w:eastAsia="宋体" w:cs="Times New Roman"/>
                <w:b/>
                <w:bCs/>
                <w:sz w:val="21"/>
                <w:szCs w:val="21"/>
              </w:rPr>
              <w:t>E</w:t>
            </w:r>
            <w:r>
              <w:rPr>
                <w:rFonts w:hint="eastAsia" w:ascii="宋体" w:hAnsi="宋体" w:eastAsia="宋体" w:cs="Times New Roman"/>
                <w:b/>
                <w:bCs/>
                <w:sz w:val="21"/>
                <w:szCs w:val="21"/>
                <w:lang w:val="en-US" w:eastAsia="zh-CN"/>
              </w:rPr>
              <w:t>n</w:t>
            </w:r>
            <w:r>
              <w:rPr>
                <w:rFonts w:hint="eastAsia" w:ascii="宋体" w:hAnsi="宋体" w:eastAsia="宋体" w:cs="Times New Roman"/>
                <w:b/>
                <w:bCs/>
                <w:sz w:val="21"/>
                <w:szCs w:val="21"/>
              </w:rPr>
              <w:t>MS</w:t>
            </w:r>
            <w:r>
              <w:rPr>
                <w:rFonts w:hint="eastAsia" w:ascii="宋体" w:hAnsi="宋体" w:eastAsia="宋体" w:cs="Times New Roman"/>
                <w:b/>
                <w:bCs/>
                <w:sz w:val="21"/>
                <w:szCs w:val="21"/>
                <w:lang w:val="en-US" w:eastAsia="zh-CN"/>
              </w:rPr>
              <w:t>:</w:t>
            </w:r>
            <w:r>
              <w:rPr>
                <w:rFonts w:hint="eastAsia" w:asciiTheme="minorEastAsia" w:hAnsiTheme="minorEastAsia" w:eastAsiaTheme="minorEastAsia" w:cstheme="minorEastAsia"/>
                <w:b w:val="0"/>
                <w:bCs w:val="0"/>
                <w:color w:val="auto"/>
                <w:sz w:val="18"/>
                <w:szCs w:val="18"/>
                <w:u w:val="none"/>
                <w:lang w:val="en-US" w:eastAsia="zh-CN"/>
              </w:rPr>
              <w:t xml:space="preserve">:5.3/6.2//6.3/6.4/6.5/6.6/7.2/7.3/7.4/7.5/8.1/9.2/10.1  </w:t>
            </w:r>
          </w:p>
        </w:tc>
        <w:tc>
          <w:tcPr>
            <w:tcW w:w="7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r>
              <w:rPr>
                <w:rFonts w:hint="eastAsia" w:ascii="宋体" w:hAnsi="宋体" w:eastAsia="宋体" w:cs="Times New Roman"/>
                <w:b/>
                <w:bCs/>
                <w:sz w:val="21"/>
                <w:szCs w:val="21"/>
              </w:rPr>
              <w:t>岗位、职责和权限</w:t>
            </w:r>
            <w:r>
              <w:rPr>
                <w:rFonts w:hint="eastAsia" w:ascii="宋体" w:hAnsi="宋体" w:cs="Times New Roman"/>
                <w:b/>
                <w:bCs/>
                <w:sz w:val="21"/>
                <w:szCs w:val="21"/>
                <w:lang w:eastAsia="zh-CN"/>
              </w:rPr>
              <w:t>；</w:t>
            </w:r>
          </w:p>
        </w:tc>
        <w:tc>
          <w:tcPr>
            <w:tcW w:w="960" w:type="dxa"/>
          </w:tcPr>
          <w:p>
            <w:r>
              <w:rPr>
                <w:rFonts w:hint="eastAsia" w:ascii="宋体" w:hAnsi="宋体" w:eastAsia="宋体" w:cs="Times New Roman"/>
                <w:b/>
                <w:bCs/>
                <w:sz w:val="21"/>
                <w:szCs w:val="21"/>
              </w:rPr>
              <w:t>5.3</w:t>
            </w:r>
          </w:p>
        </w:tc>
        <w:tc>
          <w:tcPr>
            <w:tcW w:w="10872" w:type="dxa"/>
            <w:gridSpan w:val="2"/>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综合部领导龚莉介绍：综合部岗位设置：包括部门经理、人事、文件管理、能源评审等工作。全部编制了岗位职责和要求。</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lang w:val="en-US" w:eastAsia="zh-CN"/>
              </w:rPr>
            </w:pPr>
            <w:r>
              <w:rPr>
                <w:rFonts w:hint="eastAsia" w:ascii="Times New Roman" w:hAnsi="Times New Roman" w:eastAsia="宋体" w:cs="Times New Roman"/>
                <w:kern w:val="2"/>
                <w:sz w:val="21"/>
                <w:szCs w:val="22"/>
                <w:lang w:val="en-US" w:eastAsia="zh-CN" w:bidi="ar-SA"/>
              </w:rPr>
              <w:t>综合部是能源管理体系的主推部门，负责贯彻落实方针、政策、法律、法规、标准及规定，编制实施公司节能规划及年度计划。负责能源管理体系培训计划的编制、落实和检查；确保能源管理人员和主要耗能设备操作人员培训达标。负责能源管理内外部信息的交流及外来文件的接收、传递、控制等工作。制定内审计划和方案，参与能源管理体系管理评审，确保体系的正常运行。能源管理体系的文件归口管理部门，负责编制及发布能源管理手册及相关文件；负责公司文件的制定、完善和管理文件的接收、发放、销毁等控制工作。负责监督、督促、维护、监控公司能源管理体系的运行情况；每月对各部门管理目标完成情况进行能源绩效考核。会同有关部门搞好节能宣传教育工作，提高广大员工的节能意识。搜集、存档能源管理方面的法律法规文件，并定期评价对适用法律法规和其他要求的遵守情况。收集、整理节能新技术、新设备及新能源和再生能源有效利用方面的信息。</w:t>
            </w:r>
          </w:p>
        </w:tc>
        <w:tc>
          <w:tcPr>
            <w:tcW w:w="717" w:type="dxa"/>
          </w:tcPr>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目标指标方案</w:t>
            </w:r>
          </w:p>
        </w:tc>
        <w:tc>
          <w:tcPr>
            <w:tcW w:w="960" w:type="dxa"/>
          </w:tcPr>
          <w:p>
            <w:pPr>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6.2</w:t>
            </w:r>
          </w:p>
        </w:tc>
        <w:tc>
          <w:tcPr>
            <w:tcW w:w="10872" w:type="dxa"/>
            <w:gridSpan w:val="2"/>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企业制定了公司级的能源目标：2021年能源目标每月耗电≦3.99kwh/平米；</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ind w:firstLine="2940" w:firstLineChars="140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2021年11月份实际完成2.09kwh/平米。完成指标</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综合部通过职责管理对公司级目标指标的完成起到促进作用。</w:t>
            </w:r>
          </w:p>
        </w:tc>
        <w:tc>
          <w:tcPr>
            <w:tcW w:w="717" w:type="dxa"/>
          </w:tcPr>
          <w:p>
            <w:pPr>
              <w:rPr>
                <w:rFonts w:hint="eastAsia"/>
                <w:lang w:val="en-US" w:eastAsia="zh-CN"/>
              </w:rPr>
            </w:pPr>
          </w:p>
          <w:p>
            <w:pPr>
              <w:ind w:firstLine="21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能源评审</w:t>
            </w:r>
          </w:p>
        </w:tc>
        <w:tc>
          <w:tcPr>
            <w:tcW w:w="9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En6.3</w:t>
            </w:r>
          </w:p>
        </w:tc>
        <w:tc>
          <w:tcPr>
            <w:tcW w:w="10852"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提供：“成都品尚电子有限公司能源评审报告”2021年12月6；内容包括：</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能源评审基础信息（目的和范围和边界、评审期、公司能源使用基本情况、淘汰能耗落后工艺、设备概况等）;  公司管理体系覆盖范围包括：电子产品研发和销售所涉及的能源管理的能源管理活动。</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评审期：2021年11月1日～2021年11月30日。</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基准期：2021年5月1日～2021年10月31日周期内平均值</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能源管理状况评审（能源方针目标、能源管理组织及职责、能源管理制度、能源管理、能源计量、能源统计管理、能源定额管理、近三年生产和节能技改项目等）；</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能源利用状况评审（能源消耗结构分析、用能设备能耗分析等）；</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节能潜力分析和能源绩效优先改进机会识别（管理改进方法、项目改进方法）；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未来能源的消耗分析；</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能源评审输出（能源绩效参数、能源基准和能源目标指标、影响主要能源使用的相关变量和参数控制）；能源评审报告中未具体描述影响电力使用（主要能源使用）的相关变量。</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结论和建议（总体评价、建议）</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以上内容基本满足标准要求。</w:t>
            </w:r>
          </w:p>
        </w:tc>
        <w:tc>
          <w:tcPr>
            <w:tcW w:w="737" w:type="dxa"/>
            <w:gridSpan w:val="2"/>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1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能源绩效参数、能源基准的确定</w:t>
            </w:r>
          </w:p>
        </w:tc>
        <w:tc>
          <w:tcPr>
            <w:tcW w:w="9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En6.4/</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6.5</w:t>
            </w:r>
          </w:p>
        </w:tc>
        <w:tc>
          <w:tcPr>
            <w:tcW w:w="10852"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2021年5月份公司开始搬进该处办公，  公司的能源种类为主要是电，公司的产品为电子产品的设计和销售，没有固定的产品，因此公司的绩效参数为kwh/㎡。</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该企业根据2021年5月-10月的用电情况进行分析，认为2021年5月份以来，盛夏时以为要开空调用电较多，其他变量基本没有变化，企业的经营活动处于稳定状态，能源消耗稳定，通过对2021年5月-10月用电情况分析，可以用2021年5月份-10月份的平均单耗作为基准，即能源目标。</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即，3.99kwh/㎡为公司的能源基准。</w:t>
            </w:r>
          </w:p>
        </w:tc>
        <w:tc>
          <w:tcPr>
            <w:tcW w:w="737" w:type="dxa"/>
            <w:gridSpan w:val="2"/>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能源数据的收集策划</w:t>
            </w:r>
          </w:p>
        </w:tc>
        <w:tc>
          <w:tcPr>
            <w:tcW w:w="9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En6.6</w:t>
            </w:r>
          </w:p>
        </w:tc>
        <w:tc>
          <w:tcPr>
            <w:tcW w:w="10852"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该企业根据能源统计和能源核算以及成本考核等因素，对能源数据的收集进行了策划，并通过生产统计表（日报表）的形式予以展示，按照数据收集策划的要求对能源消耗进行成本核算和考核，基本满足企业能源管理的要求。</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能源数据的收集策划主要收集每月的用电情况及办公室的面积。</w:t>
            </w:r>
          </w:p>
        </w:tc>
        <w:tc>
          <w:tcPr>
            <w:tcW w:w="737" w:type="dxa"/>
            <w:gridSpan w:val="2"/>
            <w:vAlign w:val="top"/>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运行控制</w:t>
            </w:r>
          </w:p>
        </w:tc>
        <w:tc>
          <w:tcPr>
            <w:tcW w:w="960"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En8.1</w:t>
            </w:r>
          </w:p>
        </w:tc>
        <w:tc>
          <w:tcPr>
            <w:tcW w:w="10852" w:type="dxa"/>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工艺流程：</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研发流程：立项-项目计划-方案设计-详细设计-设计开发评审、验证、确认-交付</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销售流程：洽谈—方案设计（适用时）—签订合同或订单——采购——交付验收——售后</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用能控制情况：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抽查：2021年5-10月份用电统计表（月报表）分析1-6能耗耗与产品的消耗等数据，对能源消耗进行控制</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三、设备管理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提供：设备管理制度及生产设备台账，编制了设备管理制度和生产设备台账，用电设备空调1台（房间固有的）、台式电脑10台、笔记本电脑14台、照明灯具66个。</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四、能源计量管理：电量的计量管理由成都丽晶物业管理有限公司负责，物业公司每月将“缴费通知单”给公司，公司按缴费单的金额进行缴费。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五、淘汰能耗落后工艺、设备概况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按照国家政策法规文件识别成都品尚电子有限公司无相关能耗落后的工艺，也无淘汰落后设备。</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六、能源绩效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能源限额管理：企业所处行业目前国家及地方未指定行管限额标准。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七、能耗绩效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  经计算2021年5-10月份总耗电7933kwh，房间面积为331.23平方米，每月的耗电量为3.99kwh/㎡。</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drawing>
                <wp:inline distT="0" distB="0" distL="114300" distR="114300">
                  <wp:extent cx="6513195" cy="2157095"/>
                  <wp:effectExtent l="4445" t="4445" r="10160" b="1016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八、现场巡视情况：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现场查看办公室控制和设备运行情况，用电情况良好，未发现用大功率电器情况；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（2）节能技术措施 </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依靠技术进步，采用有效节能的新技术、新工艺、新材料，新能源和可再生能源，提高能源利用效率。注意随时关闭电器，下班后及时关灯及电器。  </w:t>
            </w:r>
          </w:p>
        </w:tc>
        <w:tc>
          <w:tcPr>
            <w:tcW w:w="737" w:type="dxa"/>
            <w:gridSpan w:val="2"/>
          </w:tcPr>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Y</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240" w:lineRule="auto"/>
              <w:textAlignment w:val="auto"/>
              <w:rPr>
                <w:rFonts w:hint="eastAsia"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2160" w:type="dxa"/>
          </w:tcPr>
          <w:p>
            <w:pPr>
              <w:rPr>
                <w:rFonts w:hint="default" w:ascii="宋体" w:hAnsi="宋体" w:eastAsia="宋体" w:cs="Times New Roman"/>
                <w:b/>
                <w:bCs/>
                <w:sz w:val="21"/>
                <w:szCs w:val="21"/>
                <w:lang w:val="en-US"/>
              </w:rPr>
            </w:pPr>
            <w:r>
              <w:rPr>
                <w:rFonts w:hint="eastAsia" w:ascii="宋体" w:hAnsi="宋体" w:eastAsia="宋体" w:cs="Times New Roman"/>
                <w:b/>
                <w:bCs/>
                <w:sz w:val="21"/>
                <w:szCs w:val="21"/>
                <w:lang w:val="en-US" w:eastAsia="zh-CN"/>
              </w:rPr>
              <w:t>信息沟通及交流</w:t>
            </w:r>
          </w:p>
        </w:tc>
        <w:tc>
          <w:tcPr>
            <w:tcW w:w="960" w:type="dxa"/>
          </w:tcPr>
          <w:p>
            <w:pPr>
              <w:rPr>
                <w:rFonts w:hint="eastAsia" w:ascii="宋体" w:hAnsi="宋体" w:cs="Times New Roman"/>
                <w:b/>
                <w:bCs/>
                <w:sz w:val="21"/>
                <w:szCs w:val="21"/>
                <w:lang w:val="en-US" w:eastAsia="zh-CN"/>
              </w:rPr>
            </w:pPr>
            <w:r>
              <w:rPr>
                <w:rFonts w:hint="eastAsia" w:ascii="宋体" w:hAnsi="宋体" w:cs="Times New Roman"/>
                <w:b/>
                <w:bCs/>
                <w:sz w:val="21"/>
                <w:szCs w:val="21"/>
                <w:lang w:val="en-US" w:eastAsia="zh-CN"/>
              </w:rPr>
              <w:t>7.4/</w:t>
            </w:r>
          </w:p>
          <w:p>
            <w:pPr>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9.1.1</w:t>
            </w:r>
          </w:p>
        </w:tc>
        <w:tc>
          <w:tcPr>
            <w:tcW w:w="10872" w:type="dxa"/>
            <w:gridSpan w:val="2"/>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公司制定《信息交流控制程序》，确保与能源管理体系相关的内部和外部沟通，包括:传达的信息;什么时间沟通;与谁沟通；如何沟通;谁来沟通等。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在实施沟通过程时，确保所传达的信息与能源管理体系内所产生的信息一致、可靠。</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确保沟通过程从事工作的人可以对能源管理体系和能源绩效提出评论或建议。保持建议改进的文件或记录。</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交流内容：法律、法规对能源的要求，外部相关方的信息，有关能源方针、目标及管理方案，公司能源管理体系的监测、审核、管理评审的结果，公司的能源绩效及改进情况，及其他相关的信息均可作为交流的内容。</w:t>
            </w:r>
          </w:p>
          <w:p>
            <w:pPr>
              <w:pStyle w:val="14"/>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lang w:val="en-US" w:eastAsia="zh-CN"/>
              </w:rPr>
            </w:pPr>
            <w:r>
              <w:rPr>
                <w:rFonts w:hint="eastAsia" w:ascii="Times New Roman" w:hAnsi="Times New Roman" w:eastAsia="宋体" w:cs="Times New Roman"/>
                <w:bCs w:val="0"/>
                <w:spacing w:val="0"/>
                <w:kern w:val="2"/>
                <w:sz w:val="21"/>
                <w:szCs w:val="22"/>
                <w:lang w:val="en-US" w:eastAsia="zh-CN" w:bidi="ar-SA"/>
              </w:rPr>
              <w:t>查看企业交流</w:t>
            </w:r>
            <w:r>
              <w:rPr>
                <w:rFonts w:hint="eastAsia" w:ascii="Times New Roman" w:hAnsi="Times New Roman" w:cs="Times New Roman"/>
                <w:bCs w:val="0"/>
                <w:spacing w:val="0"/>
                <w:kern w:val="2"/>
                <w:sz w:val="21"/>
                <w:szCs w:val="22"/>
                <w:lang w:val="en-US" w:eastAsia="zh-CN" w:bidi="ar-SA"/>
              </w:rPr>
              <w:t>信息内容包括：体系培训、告知相关方在采购能源和设备时对相关方的要求、关于体系认证内审员任命的决定、2021年内审、管理评审等内容。</w:t>
            </w:r>
            <w:r>
              <w:rPr>
                <w:rFonts w:hint="eastAsia" w:ascii="Times New Roman" w:hAnsi="Times New Roman" w:eastAsia="宋体" w:cs="Times New Roman"/>
                <w:bCs w:val="0"/>
                <w:spacing w:val="0"/>
                <w:kern w:val="2"/>
                <w:sz w:val="21"/>
                <w:szCs w:val="22"/>
                <w:lang w:val="en-US" w:eastAsia="zh-CN" w:bidi="ar-SA"/>
              </w:rPr>
              <w:t>企业</w:t>
            </w:r>
            <w:r>
              <w:rPr>
                <w:rFonts w:hint="eastAsia" w:ascii="Times New Roman" w:hAnsi="Times New Roman" w:cs="Times New Roman"/>
                <w:bCs w:val="0"/>
                <w:spacing w:val="0"/>
                <w:kern w:val="2"/>
                <w:sz w:val="21"/>
                <w:szCs w:val="22"/>
                <w:lang w:val="en-US" w:eastAsia="zh-CN" w:bidi="ar-SA"/>
              </w:rPr>
              <w:t>信息</w:t>
            </w:r>
            <w:r>
              <w:rPr>
                <w:rFonts w:hint="eastAsia" w:ascii="Times New Roman" w:hAnsi="Times New Roman" w:eastAsia="宋体" w:cs="Times New Roman"/>
                <w:bCs w:val="0"/>
                <w:spacing w:val="0"/>
                <w:kern w:val="2"/>
                <w:sz w:val="21"/>
                <w:szCs w:val="22"/>
                <w:lang w:val="en-US" w:eastAsia="zh-CN" w:bidi="ar-SA"/>
              </w:rPr>
              <w:t>沟通有记录</w:t>
            </w:r>
            <w:r>
              <w:rPr>
                <w:rFonts w:hint="eastAsia" w:ascii="Times New Roman" w:hAnsi="Times New Roman" w:cs="Times New Roman"/>
                <w:bCs w:val="0"/>
                <w:spacing w:val="0"/>
                <w:kern w:val="2"/>
                <w:sz w:val="21"/>
                <w:szCs w:val="22"/>
                <w:lang w:val="en-US" w:eastAsia="zh-CN" w:bidi="ar-SA"/>
              </w:rPr>
              <w:t>。</w:t>
            </w:r>
          </w:p>
        </w:tc>
        <w:tc>
          <w:tcPr>
            <w:tcW w:w="717" w:type="dxa"/>
          </w:tcPr>
          <w:p>
            <w:pPr>
              <w:rPr>
                <w:rFonts w:hint="eastAsia"/>
                <w:lang w:val="en-US" w:eastAsia="zh-CN"/>
              </w:rPr>
            </w:pPr>
          </w:p>
          <w:p>
            <w:pPr>
              <w:pStyle w:val="11"/>
              <w:rPr>
                <w:rFonts w:hint="eastAsia"/>
                <w:lang w:val="en-US" w:eastAsia="zh-CN"/>
              </w:rPr>
            </w:pPr>
          </w:p>
          <w:p>
            <w:pPr>
              <w:pStyle w:val="11"/>
              <w:rPr>
                <w:rFonts w:hint="eastAsia"/>
                <w:lang w:val="en-US" w:eastAsia="zh-CN"/>
              </w:rPr>
            </w:pPr>
          </w:p>
          <w:p>
            <w:pPr>
              <w:ind w:firstLine="21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成文信息</w:t>
            </w:r>
          </w:p>
        </w:tc>
        <w:tc>
          <w:tcPr>
            <w:tcW w:w="960" w:type="dxa"/>
          </w:tcPr>
          <w:p>
            <w:pP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7.5</w:t>
            </w:r>
          </w:p>
        </w:tc>
        <w:tc>
          <w:tcPr>
            <w:tcW w:w="10872" w:type="dxa"/>
            <w:gridSpan w:val="2"/>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公司编制了《文件化信息控制程序》及《记录控制程序》。</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highlight w:val="none"/>
                <w:lang w:val="en-US" w:eastAsia="zh-CN"/>
              </w:rPr>
            </w:pPr>
            <w:r>
              <w:rPr>
                <w:rFonts w:hint="eastAsia"/>
                <w:lang w:val="en-US" w:eastAsia="zh-CN"/>
              </w:rPr>
              <w:t>能源管理体系的文件化信息包括：一体化管理手册1份、相关程序文件22个，相</w:t>
            </w:r>
            <w:r>
              <w:rPr>
                <w:rFonts w:hint="eastAsia"/>
                <w:highlight w:val="none"/>
                <w:lang w:val="en-US" w:eastAsia="zh-CN"/>
              </w:rPr>
              <w:t>关管理制度6个，记录清单32个，形成了公司的文件化信息系统，规定了公司各类文件和资料的发放范围和控制方法，确保能源管理体系在各个场所都能得到相应文件的有效版本，防止误用。</w:t>
            </w:r>
          </w:p>
          <w:p>
            <w:pPr>
              <w:pStyle w:val="14"/>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lang w:val="en-US" w:eastAsia="zh-CN"/>
              </w:rPr>
            </w:pPr>
            <w:r>
              <w:rPr>
                <w:rFonts w:hint="eastAsia" w:ascii="Times New Roman" w:hAnsi="Times New Roman" w:cs="Times New Roman"/>
                <w:szCs w:val="22"/>
                <w:lang w:val="en-US" w:eastAsia="zh-CN"/>
              </w:rPr>
              <w:t>符合要求。</w:t>
            </w:r>
          </w:p>
        </w:tc>
        <w:tc>
          <w:tcPr>
            <w:tcW w:w="717" w:type="dxa"/>
          </w:tcPr>
          <w:p>
            <w:pPr>
              <w:rPr>
                <w:rFonts w:hint="eastAsia"/>
                <w:lang w:val="en-US" w:eastAsia="zh-CN"/>
              </w:rPr>
            </w:pPr>
          </w:p>
          <w:p>
            <w:pPr>
              <w:rPr>
                <w:rFonts w:hint="eastAsia"/>
                <w:lang w:val="en-US" w:eastAsia="zh-CN"/>
              </w:rPr>
            </w:pPr>
          </w:p>
          <w:p>
            <w:pPr>
              <w:ind w:firstLine="21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能力意识</w:t>
            </w:r>
          </w:p>
        </w:tc>
        <w:tc>
          <w:tcPr>
            <w:tcW w:w="960" w:type="dxa"/>
          </w:tcPr>
          <w:p>
            <w:pP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7.2/7.3</w:t>
            </w:r>
          </w:p>
        </w:tc>
        <w:tc>
          <w:tcPr>
            <w:tcW w:w="10872" w:type="dxa"/>
            <w:gridSpan w:val="2"/>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公司制定了《人力资源控制程序》确定了：从事影响其能源性能和环境管理系统的工作的人的必要能力。根据适当的教育、培训、技能或经验，确保这些人能够胜任工作;在适用的情况下，采取行动获得必要的能力，并评估所采取行动的有效性；保持记录信息作为证据的能力。</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lang w:val="en-US" w:eastAsia="zh-CN"/>
              </w:rPr>
            </w:pPr>
            <w:r>
              <w:rPr>
                <w:rFonts w:hint="eastAsia"/>
                <w:lang w:val="en-US" w:eastAsia="zh-CN"/>
              </w:rPr>
              <w:t>强调公司控制下从事工作的人员要清楚：能源方针、实现目标和能源目标和提高能效的好处、其活动或行为对能源绩效的影响、不符合能源管理体系要求的影响。</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Cs w:val="22"/>
                <w:lang w:val="en-US" w:eastAsia="zh-CN"/>
              </w:rPr>
            </w:pPr>
            <w:r>
              <w:rPr>
                <w:rFonts w:hint="eastAsia"/>
                <w:lang w:val="en-US" w:eastAsia="zh-CN"/>
              </w:rPr>
              <w:t>提供：</w:t>
            </w:r>
            <w:r>
              <w:rPr>
                <w:rFonts w:hint="eastAsia" w:cs="Times New Roman"/>
                <w:szCs w:val="22"/>
                <w:lang w:val="en-US" w:eastAsia="zh-CN"/>
              </w:rPr>
              <w:t>成都品尚电子产品研发、销售</w:t>
            </w:r>
            <w:r>
              <w:rPr>
                <w:rFonts w:hint="eastAsia" w:ascii="Times New Roman" w:hAnsi="Times New Roman" w:eastAsia="宋体" w:cs="Times New Roman"/>
                <w:szCs w:val="22"/>
                <w:lang w:val="en-US" w:eastAsia="zh-CN"/>
              </w:rPr>
              <w:t>有限公司能源管理2021年培训计划，包括三项内容：能源管理体系标准培训、能源管理体系文件培训、能源管理体系内审员；</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Cs w:val="22"/>
                <w:lang w:val="en-US" w:eastAsia="zh-CN"/>
              </w:rPr>
            </w:pPr>
            <w:r>
              <w:rPr>
                <w:rFonts w:hint="eastAsia"/>
                <w:lang w:val="en-US" w:eastAsia="zh-CN"/>
              </w:rPr>
              <w:t>提供培训记录：</w:t>
            </w:r>
            <w:r>
              <w:rPr>
                <w:rFonts w:hint="eastAsia" w:cs="Times New Roman"/>
                <w:szCs w:val="22"/>
                <w:lang w:val="en-US" w:eastAsia="zh-CN"/>
              </w:rPr>
              <w:t>7</w:t>
            </w:r>
            <w:r>
              <w:rPr>
                <w:rFonts w:hint="eastAsia" w:ascii="Times New Roman" w:hAnsi="Times New Roman" w:eastAsia="宋体" w:cs="Times New Roman"/>
                <w:szCs w:val="22"/>
                <w:lang w:val="en-US" w:eastAsia="zh-CN"/>
              </w:rPr>
              <w:t>月</w:t>
            </w:r>
            <w:r>
              <w:rPr>
                <w:rFonts w:hint="eastAsia" w:cs="Times New Roman"/>
                <w:szCs w:val="22"/>
                <w:lang w:val="en-US" w:eastAsia="zh-CN"/>
              </w:rPr>
              <w:t>6</w:t>
            </w:r>
            <w:r>
              <w:rPr>
                <w:rFonts w:hint="eastAsia" w:ascii="Times New Roman" w:hAnsi="Times New Roman" w:eastAsia="宋体" w:cs="Times New Roman"/>
                <w:szCs w:val="22"/>
                <w:lang w:val="en-US" w:eastAsia="zh-CN"/>
              </w:rPr>
              <w:t>日</w:t>
            </w:r>
            <w:r>
              <w:rPr>
                <w:rFonts w:hint="eastAsia" w:cs="Times New Roman"/>
                <w:szCs w:val="22"/>
                <w:lang w:val="en-US" w:eastAsia="zh-CN"/>
              </w:rPr>
              <w:t>综合部</w:t>
            </w:r>
            <w:r>
              <w:rPr>
                <w:rFonts w:hint="eastAsia" w:ascii="Times New Roman" w:hAnsi="Times New Roman" w:eastAsia="宋体" w:cs="Times New Roman"/>
                <w:szCs w:val="22"/>
                <w:lang w:val="en-US" w:eastAsia="zh-CN"/>
              </w:rPr>
              <w:t>组织能源管理体系标准培训，培训对象:公司领导、各部门领导、能源管理员、统计员及相关人员;外聘教师进行培训，有培训效果评价；</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lang w:val="en-US" w:eastAsia="zh-CN"/>
              </w:rPr>
            </w:pPr>
            <w:r>
              <w:rPr>
                <w:rFonts w:hint="eastAsia" w:ascii="Times New Roman" w:hAnsi="Times New Roman" w:eastAsia="宋体" w:cs="Times New Roman"/>
                <w:szCs w:val="22"/>
                <w:lang w:val="en-US" w:eastAsia="zh-CN"/>
              </w:rPr>
              <w:t>5月16日</w:t>
            </w:r>
            <w:r>
              <w:rPr>
                <w:rFonts w:hint="eastAsia" w:cs="Times New Roman"/>
                <w:szCs w:val="22"/>
                <w:lang w:val="en-US" w:eastAsia="zh-CN"/>
              </w:rPr>
              <w:t>综合部</w:t>
            </w:r>
            <w:r>
              <w:rPr>
                <w:rFonts w:hint="eastAsia" w:ascii="Times New Roman" w:hAnsi="Times New Roman" w:eastAsia="宋体" w:cs="Times New Roman"/>
                <w:szCs w:val="22"/>
                <w:lang w:val="en-US" w:eastAsia="zh-CN"/>
              </w:rPr>
              <w:t>组织能源管理体系文件培训，培训对象:全体员工;</w:t>
            </w:r>
            <w:r>
              <w:rPr>
                <w:rFonts w:hint="eastAsia" w:cs="Times New Roman"/>
                <w:szCs w:val="22"/>
                <w:lang w:val="en-US" w:eastAsia="zh-CN"/>
              </w:rPr>
              <w:t>综合部周翔</w:t>
            </w:r>
            <w:r>
              <w:rPr>
                <w:rFonts w:hint="eastAsia" w:ascii="Times New Roman" w:hAnsi="Times New Roman" w:eastAsia="宋体" w:cs="Times New Roman"/>
                <w:szCs w:val="22"/>
                <w:lang w:val="en-US" w:eastAsia="zh-CN"/>
              </w:rPr>
              <w:t>进行培训，有培训效果评价；</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lang w:val="en-US" w:eastAsia="zh-CN"/>
              </w:rPr>
            </w:pPr>
            <w:r>
              <w:rPr>
                <w:rFonts w:hint="eastAsia" w:ascii="Times New Roman" w:hAnsi="Times New Roman" w:eastAsia="宋体" w:cs="Times New Roman"/>
                <w:szCs w:val="22"/>
                <w:lang w:val="en-US" w:eastAsia="zh-CN"/>
              </w:rPr>
              <w:t>10月13日</w:t>
            </w:r>
            <w:r>
              <w:rPr>
                <w:rFonts w:hint="eastAsia" w:cs="Times New Roman"/>
                <w:szCs w:val="22"/>
                <w:lang w:val="en-US" w:eastAsia="zh-CN"/>
              </w:rPr>
              <w:t>综合部</w:t>
            </w:r>
            <w:r>
              <w:rPr>
                <w:rFonts w:hint="eastAsia" w:ascii="Times New Roman" w:hAnsi="Times New Roman" w:eastAsia="宋体" w:cs="Times New Roman"/>
                <w:szCs w:val="22"/>
                <w:lang w:val="en-US" w:eastAsia="zh-CN"/>
              </w:rPr>
              <w:t>组织能源管理体系内审员培训，培训对象:内审员;外聘老师进行培训，有培训效果评价；</w:t>
            </w:r>
          </w:p>
        </w:tc>
        <w:tc>
          <w:tcPr>
            <w:tcW w:w="717" w:type="dxa"/>
          </w:tcPr>
          <w:p>
            <w:pPr>
              <w:rPr>
                <w:rFonts w:hint="default"/>
                <w:lang w:val="en-US" w:eastAsia="zh-CN"/>
              </w:rPr>
            </w:pPr>
            <w:r>
              <w:rPr>
                <w:rFonts w:hint="eastAsia"/>
                <w:lang w:val="en-US" w:eastAsia="zh-CN"/>
              </w:rPr>
              <w:t>y</w:t>
            </w: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p>
            <w:pPr>
              <w:pStyle w:val="15"/>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综合管理部</w:t>
            </w:r>
            <w:r>
              <w:rPr>
                <w:rFonts w:hint="eastAsia" w:ascii="宋体" w:hAnsi="宋体" w:eastAsia="宋体" w:cs="Times New Roman"/>
                <w:b/>
                <w:bCs/>
                <w:sz w:val="21"/>
                <w:szCs w:val="21"/>
              </w:rPr>
              <w:t>有关的管理体系控制及运行活动</w:t>
            </w:r>
          </w:p>
        </w:tc>
        <w:tc>
          <w:tcPr>
            <w:tcW w:w="960" w:type="dxa"/>
          </w:tcPr>
          <w:p>
            <w:pP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8.1</w:t>
            </w:r>
          </w:p>
        </w:tc>
        <w:tc>
          <w:tcPr>
            <w:tcW w:w="10872" w:type="dxa"/>
            <w:gridSpan w:val="2"/>
          </w:tcPr>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lang w:val="en-GB"/>
              </w:rPr>
            </w:pPr>
            <w:r>
              <w:rPr>
                <w:rFonts w:hint="eastAsia"/>
                <w:lang w:val="en-US" w:eastAsia="zh-CN"/>
              </w:rPr>
              <w:t>综合部根据部门职责开展工作，公司的行政管理过程中</w:t>
            </w:r>
            <w:r>
              <w:rPr>
                <w:rFonts w:hint="eastAsia"/>
              </w:rPr>
              <w:t>节能降耗管理、消防安全管理制度、</w:t>
            </w:r>
            <w:r>
              <w:rPr>
                <w:rFonts w:hint="eastAsia"/>
                <w:lang w:val="en-GB"/>
              </w:rPr>
              <w:t>办公室安全</w:t>
            </w:r>
            <w:r>
              <w:rPr>
                <w:rFonts w:hint="eastAsia"/>
                <w:lang w:val="en-US" w:eastAsia="zh-CN"/>
              </w:rPr>
              <w:t>管理</w:t>
            </w:r>
            <w:r>
              <w:rPr>
                <w:rFonts w:hint="eastAsia"/>
                <w:lang w:val="en-GB"/>
              </w:rPr>
              <w:t>、</w:t>
            </w:r>
            <w:r>
              <w:rPr>
                <w:rFonts w:hint="eastAsia"/>
                <w:lang w:val="en-US" w:eastAsia="zh-CN"/>
              </w:rPr>
              <w:t>制度管理、</w:t>
            </w:r>
            <w:r>
              <w:rPr>
                <w:rFonts w:hint="eastAsia"/>
                <w:lang w:val="en-GB"/>
              </w:rPr>
              <w:t>电脑使用管理办法</w:t>
            </w:r>
            <w:r>
              <w:rPr>
                <w:rFonts w:hint="eastAsia"/>
              </w:rPr>
              <w:t>等。</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lang w:val="en-GB"/>
              </w:rPr>
            </w:pPr>
            <w:r>
              <w:rPr>
                <w:rFonts w:hint="eastAsia"/>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lang w:val="en-GB"/>
              </w:rPr>
            </w:pPr>
            <w:r>
              <w:rPr>
                <w:rFonts w:hint="eastAsia"/>
              </w:rPr>
              <w:t>办公过程使用的电器如：空调、电脑、灯具均符合安全</w:t>
            </w:r>
            <w:r>
              <w:rPr>
                <w:rFonts w:hint="eastAsia"/>
                <w:lang w:val="en-US" w:eastAsia="zh-CN"/>
              </w:rPr>
              <w:t>和节能</w:t>
            </w:r>
            <w:r>
              <w:rPr>
                <w:rFonts w:hint="eastAsia"/>
              </w:rPr>
              <w:t>要求；</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eastAsia="宋体" w:cs="Times New Roman"/>
                <w:szCs w:val="22"/>
                <w:lang w:val="en-US" w:eastAsia="zh-CN"/>
              </w:rPr>
            </w:pPr>
            <w:r>
              <w:rPr>
                <w:rFonts w:hint="eastAsia"/>
                <w:lang w:val="en-US" w:eastAsia="zh-CN"/>
              </w:rPr>
              <w:t>提供</w:t>
            </w:r>
            <w:r>
              <w:rPr>
                <w:rFonts w:hint="eastAsia" w:ascii="Times New Roman" w:hAnsi="Times New Roman" w:eastAsia="宋体" w:cs="Times New Roman"/>
                <w:szCs w:val="22"/>
                <w:lang w:val="en-US" w:eastAsia="zh-CN"/>
              </w:rPr>
              <w:t>“检查情况统计”</w:t>
            </w:r>
            <w:r>
              <w:rPr>
                <w:rFonts w:hint="eastAsia" w:ascii="Times New Roman" w:hAnsi="Times New Roman" w:eastAsia="宋体" w:cs="Times New Roman"/>
                <w:szCs w:val="22"/>
                <w:lang w:val="en-GB" w:eastAsia="zh-CN"/>
              </w:rPr>
              <w:t>，</w:t>
            </w:r>
            <w:r>
              <w:rPr>
                <w:rFonts w:hint="eastAsia" w:ascii="Times New Roman" w:hAnsi="Times New Roman" w:eastAsia="宋体" w:cs="Times New Roman"/>
                <w:szCs w:val="22"/>
                <w:lang w:val="en-US" w:eastAsia="zh-CN"/>
              </w:rPr>
              <w:t>包括：检查内容、检查结果等，</w:t>
            </w:r>
            <w:r>
              <w:rPr>
                <w:rFonts w:hint="eastAsia" w:cs="Times New Roman"/>
                <w:szCs w:val="22"/>
                <w:lang w:val="en-US" w:eastAsia="zh-CN"/>
              </w:rPr>
              <w:t>综合部</w:t>
            </w:r>
            <w:r>
              <w:rPr>
                <w:rFonts w:hint="eastAsia" w:ascii="Times New Roman" w:hAnsi="Times New Roman" w:eastAsia="宋体" w:cs="Times New Roman"/>
                <w:szCs w:val="22"/>
                <w:lang w:val="en-US" w:eastAsia="zh-CN"/>
              </w:rPr>
              <w:t>每月进行检查并</w:t>
            </w:r>
            <w:r>
              <w:rPr>
                <w:rFonts w:hint="eastAsia" w:ascii="Times New Roman" w:hAnsi="Times New Roman" w:eastAsia="宋体" w:cs="Times New Roman"/>
                <w:szCs w:val="22"/>
                <w:lang w:val="en-GB" w:eastAsia="zh-CN"/>
              </w:rPr>
              <w:t>统计分析、</w:t>
            </w:r>
            <w:r>
              <w:rPr>
                <w:rFonts w:hint="eastAsia" w:ascii="Times New Roman" w:hAnsi="Times New Roman" w:eastAsia="宋体" w:cs="Times New Roman"/>
                <w:szCs w:val="22"/>
                <w:lang w:val="en-US" w:eastAsia="zh-CN"/>
              </w:rPr>
              <w:t>考核</w:t>
            </w:r>
            <w:r>
              <w:rPr>
                <w:rFonts w:hint="eastAsia" w:ascii="Times New Roman" w:hAnsi="Times New Roman" w:eastAsia="宋体" w:cs="Times New Roman"/>
                <w:szCs w:val="22"/>
                <w:lang w:val="en-GB" w:eastAsia="zh-CN"/>
              </w:rPr>
              <w:t>，查</w:t>
            </w:r>
            <w:r>
              <w:rPr>
                <w:rFonts w:hint="eastAsia" w:ascii="Times New Roman" w:hAnsi="Times New Roman" w:eastAsia="宋体" w:cs="Times New Roman"/>
                <w:szCs w:val="22"/>
                <w:lang w:val="en-US" w:eastAsia="zh-CN"/>
              </w:rPr>
              <w:t>2021.</w:t>
            </w:r>
            <w:r>
              <w:rPr>
                <w:rFonts w:hint="eastAsia" w:cs="Times New Roman"/>
                <w:szCs w:val="22"/>
                <w:lang w:val="en-US" w:eastAsia="zh-CN"/>
              </w:rPr>
              <w:t>5</w:t>
            </w:r>
            <w:r>
              <w:rPr>
                <w:rFonts w:hint="eastAsia" w:ascii="Times New Roman" w:hAnsi="Times New Roman" w:eastAsia="宋体" w:cs="Times New Roman"/>
                <w:szCs w:val="22"/>
                <w:lang w:val="en-US" w:eastAsia="zh-CN"/>
              </w:rPr>
              <w:t>-2021.</w:t>
            </w:r>
            <w:r>
              <w:rPr>
                <w:rFonts w:hint="eastAsia" w:cs="Times New Roman"/>
                <w:szCs w:val="22"/>
                <w:lang w:val="en-US" w:eastAsia="zh-CN"/>
              </w:rPr>
              <w:t>11</w:t>
            </w:r>
            <w:r>
              <w:rPr>
                <w:rFonts w:hint="eastAsia" w:ascii="Times New Roman" w:hAnsi="Times New Roman" w:eastAsia="宋体" w:cs="Times New Roman"/>
                <w:szCs w:val="22"/>
                <w:lang w:val="en-US" w:eastAsia="zh-CN"/>
              </w:rPr>
              <w:t>检查记录，各部门运行情况良好。</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检查人：</w:t>
            </w:r>
            <w:r>
              <w:rPr>
                <w:rFonts w:hint="eastAsia" w:cs="Times New Roman"/>
                <w:szCs w:val="22"/>
                <w:lang w:val="en-US" w:eastAsia="zh-CN"/>
              </w:rPr>
              <w:t>周翔</w:t>
            </w:r>
            <w:r>
              <w:rPr>
                <w:rFonts w:hint="eastAsia" w:ascii="Times New Roman" w:hAnsi="Times New Roman" w:eastAsia="宋体" w:cs="Times New Roman"/>
                <w:szCs w:val="22"/>
                <w:lang w:val="en-US" w:eastAsia="zh-CN"/>
              </w:rPr>
              <w:t>、</w:t>
            </w:r>
            <w:r>
              <w:rPr>
                <w:rFonts w:hint="eastAsia" w:cs="Times New Roman"/>
                <w:szCs w:val="22"/>
                <w:lang w:val="en-US" w:eastAsia="zh-CN"/>
              </w:rPr>
              <w:t>龚莉</w:t>
            </w:r>
            <w:r>
              <w:rPr>
                <w:rFonts w:hint="eastAsia" w:ascii="Times New Roman" w:hAnsi="Times New Roman" w:eastAsia="宋体" w:cs="Times New Roman"/>
                <w:szCs w:val="22"/>
                <w:lang w:val="en-US" w:eastAsia="zh-CN"/>
              </w:rPr>
              <w:t>等，检查结果进行通报。</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lang w:val="en-US" w:eastAsia="zh-CN"/>
              </w:rPr>
            </w:pPr>
            <w:r>
              <w:rPr>
                <w:rFonts w:hint="eastAsia" w:ascii="Times New Roman" w:hAnsi="Times New Roman" w:eastAsia="宋体" w:cs="Times New Roman"/>
                <w:szCs w:val="22"/>
                <w:lang w:val="en-US" w:eastAsia="zh-CN"/>
              </w:rPr>
              <w:t>经查，符合要求。</w:t>
            </w:r>
          </w:p>
        </w:tc>
        <w:tc>
          <w:tcPr>
            <w:tcW w:w="717" w:type="dxa"/>
          </w:tcPr>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default"/>
                <w:lang w:val="en-US" w:eastAsia="zh-CN"/>
              </w:rPr>
            </w:pPr>
            <w:r>
              <w:rPr>
                <w:rFonts w:hint="eastAsia"/>
                <w:lang w:val="en-US" w:eastAsia="zh-CN"/>
              </w:rPr>
              <w:t>y</w:t>
            </w:r>
          </w:p>
          <w:p>
            <w:pPr>
              <w:pStyle w:val="14"/>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法律法规及合规性评价</w:t>
            </w:r>
          </w:p>
        </w:tc>
        <w:tc>
          <w:tcPr>
            <w:tcW w:w="960" w:type="dxa"/>
          </w:tcPr>
          <w:p>
            <w:pP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4.2/9.1.2</w:t>
            </w:r>
          </w:p>
        </w:tc>
        <w:tc>
          <w:tcPr>
            <w:tcW w:w="10872" w:type="dxa"/>
            <w:gridSpan w:val="2"/>
          </w:tcPr>
          <w:p>
            <w:pPr>
              <w:pStyle w:val="14"/>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Cs w:val="0"/>
                <w:spacing w:val="0"/>
                <w:kern w:val="2"/>
                <w:sz w:val="21"/>
                <w:szCs w:val="22"/>
                <w:lang w:val="en-US" w:eastAsia="zh-CN" w:bidi="ar-SA"/>
              </w:rPr>
            </w:pPr>
            <w:r>
              <w:rPr>
                <w:rFonts w:hint="eastAsia" w:ascii="Times New Roman" w:hAnsi="Times New Roman" w:cs="Times New Roman"/>
                <w:bCs w:val="0"/>
                <w:spacing w:val="0"/>
                <w:kern w:val="2"/>
                <w:sz w:val="21"/>
                <w:szCs w:val="22"/>
                <w:lang w:val="en-US" w:eastAsia="zh-CN" w:bidi="ar-SA"/>
              </w:rPr>
              <w:t>提供2021年5月6日企业组织的合规性评价报告及编制的《能源法律法规清单》识别</w:t>
            </w:r>
            <w:r>
              <w:rPr>
                <w:rFonts w:hint="eastAsia" w:cs="Times New Roman"/>
                <w:bCs w:val="0"/>
                <w:spacing w:val="0"/>
                <w:kern w:val="2"/>
                <w:sz w:val="21"/>
                <w:szCs w:val="22"/>
                <w:highlight w:val="none"/>
                <w:lang w:val="en-US" w:eastAsia="zh-CN" w:bidi="ar-SA"/>
              </w:rPr>
              <w:t>35</w:t>
            </w:r>
            <w:r>
              <w:rPr>
                <w:rFonts w:hint="eastAsia" w:ascii="Times New Roman" w:hAnsi="Times New Roman" w:cs="Times New Roman"/>
                <w:bCs w:val="0"/>
                <w:spacing w:val="0"/>
                <w:kern w:val="2"/>
                <w:sz w:val="21"/>
                <w:szCs w:val="22"/>
                <w:lang w:val="en-US" w:eastAsia="zh-CN" w:bidi="ar-SA"/>
              </w:rPr>
              <w:t>项</w:t>
            </w:r>
            <w:r>
              <w:rPr>
                <w:rFonts w:hint="eastAsia" w:cs="Times New Roman"/>
                <w:bCs w:val="0"/>
                <w:spacing w:val="0"/>
                <w:kern w:val="2"/>
                <w:sz w:val="21"/>
                <w:szCs w:val="22"/>
                <w:lang w:val="en-US" w:eastAsia="zh-CN" w:bidi="ar-SA"/>
              </w:rPr>
              <w:t>法规、26个标准</w:t>
            </w:r>
            <w:r>
              <w:rPr>
                <w:rFonts w:hint="eastAsia" w:ascii="Times New Roman" w:hAnsi="Times New Roman" w:cs="Times New Roman"/>
                <w:bCs w:val="0"/>
                <w:spacing w:val="0"/>
                <w:kern w:val="2"/>
                <w:sz w:val="21"/>
                <w:szCs w:val="22"/>
                <w:lang w:val="en-US" w:eastAsia="zh-CN" w:bidi="ar-SA"/>
              </w:rPr>
              <w:t>；包括：中华人民共和国节约能源法法、清洁生产法、计量法、GB/T23331-2020能源管理体系 要求及使用指南等</w:t>
            </w:r>
            <w:r>
              <w:rPr>
                <w:rFonts w:hint="eastAsia" w:cs="Times New Roman"/>
                <w:bCs w:val="0"/>
                <w:spacing w:val="0"/>
                <w:kern w:val="2"/>
                <w:sz w:val="21"/>
                <w:szCs w:val="22"/>
                <w:lang w:val="en-US" w:eastAsia="zh-CN" w:bidi="ar-SA"/>
              </w:rPr>
              <w:t>。</w:t>
            </w:r>
          </w:p>
          <w:p>
            <w:pPr>
              <w:keepNext w:val="0"/>
              <w:keepLines w:val="0"/>
              <w:pageBreakBefore w:val="0"/>
              <w:widowControl w:val="0"/>
              <w:kinsoku/>
              <w:wordWrap/>
              <w:overflowPunct/>
              <w:topLinePunct/>
              <w:autoSpaceDE/>
              <w:autoSpaceDN/>
              <w:bidi w:val="0"/>
              <w:adjustRightInd/>
              <w:snapToGrid/>
              <w:spacing w:before="120" w:after="0" w:line="240" w:lineRule="auto"/>
              <w:ind w:firstLine="420" w:firstLineChars="200"/>
              <w:textAlignment w:val="auto"/>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提供《能源管理体系法律、法规及其它要求合规性评价报告》对识别的</w:t>
            </w:r>
            <w:r>
              <w:rPr>
                <w:rFonts w:hint="eastAsia" w:cs="Times New Roman"/>
                <w:bCs w:val="0"/>
                <w:spacing w:val="0"/>
                <w:kern w:val="2"/>
                <w:sz w:val="21"/>
                <w:szCs w:val="22"/>
                <w:lang w:val="en-US" w:eastAsia="zh-CN" w:bidi="ar-SA"/>
              </w:rPr>
              <w:t>61</w:t>
            </w:r>
            <w:r>
              <w:rPr>
                <w:rFonts w:hint="eastAsia" w:ascii="Times New Roman" w:hAnsi="Times New Roman" w:eastAsia="宋体" w:cs="Times New Roman"/>
                <w:bCs w:val="0"/>
                <w:spacing w:val="0"/>
                <w:kern w:val="2"/>
                <w:sz w:val="21"/>
                <w:szCs w:val="22"/>
                <w:lang w:val="en-US" w:eastAsia="zh-CN" w:bidi="ar-SA"/>
              </w:rPr>
              <w:t>项法律法规和其他要求进行合规性评价，评价结果：各部门能够按照能源管理体系要求加强能源管理运行，能源方针“提高品质、降低消耗、持续发展、节约环保、追求卓越；”与公司的经营宗旨相适应，为公司制定能源目标明确了方向，与社会的可持续发展相适应的，并得到公司全体员工的理解和支持。公司对风险进行全面的识别及合理评价，制定了目标、指标管理方案。严格遵守相关环境法律法规，致力于节能降耗和对能源合理利用，确保生产经营活动满足国家有关法律法规的要求，圆满完成能源管理目标。</w:t>
            </w:r>
          </w:p>
          <w:p>
            <w:pPr>
              <w:keepNext w:val="0"/>
              <w:keepLines w:val="0"/>
              <w:pageBreakBefore w:val="0"/>
              <w:widowControl w:val="0"/>
              <w:kinsoku/>
              <w:wordWrap/>
              <w:overflowPunct/>
              <w:topLinePunct/>
              <w:autoSpaceDE/>
              <w:autoSpaceDN/>
              <w:bidi w:val="0"/>
              <w:adjustRightInd/>
              <w:snapToGrid/>
              <w:spacing w:before="120" w:after="0" w:line="240" w:lineRule="auto"/>
              <w:ind w:firstLine="420" w:firstLineChars="200"/>
              <w:textAlignment w:val="auto"/>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经评价组人员的综合评价，公司严格贯彻执行国家、地方相关法律法规和其它标准要求，通过多方面、多渠道去节约能源，保护环境，使公司在能源消耗方面取得了一定的成效。</w:t>
            </w:r>
          </w:p>
          <w:p>
            <w:pPr>
              <w:keepNext w:val="0"/>
              <w:keepLines w:val="0"/>
              <w:pageBreakBefore w:val="0"/>
              <w:widowControl w:val="0"/>
              <w:kinsoku/>
              <w:wordWrap/>
              <w:overflowPunct/>
              <w:topLinePunct/>
              <w:autoSpaceDE/>
              <w:autoSpaceDN/>
              <w:bidi w:val="0"/>
              <w:adjustRightInd/>
              <w:snapToGrid/>
              <w:spacing w:before="120" w:after="0" w:line="240" w:lineRule="auto"/>
              <w:textAlignment w:val="auto"/>
              <w:rPr>
                <w:rFonts w:hint="eastAsia" w:ascii="Times New Roman" w:hAnsi="Times New Roman" w:cs="Times New Roman"/>
                <w:bCs w:val="0"/>
                <w:spacing w:val="0"/>
                <w:kern w:val="2"/>
                <w:sz w:val="21"/>
                <w:szCs w:val="22"/>
                <w:lang w:val="en-US" w:eastAsia="zh-CN" w:bidi="ar-SA"/>
              </w:rPr>
            </w:pPr>
            <w:r>
              <w:rPr>
                <w:rFonts w:hint="eastAsia" w:ascii="Times New Roman" w:hAnsi="Times New Roman" w:cs="Times New Roman"/>
                <w:bCs w:val="0"/>
                <w:spacing w:val="0"/>
                <w:kern w:val="2"/>
                <w:sz w:val="21"/>
                <w:szCs w:val="22"/>
                <w:lang w:val="en-US" w:eastAsia="zh-CN" w:bidi="ar-SA"/>
              </w:rPr>
              <w:t>评价结论：</w:t>
            </w:r>
            <w:r>
              <w:rPr>
                <w:rFonts w:hint="eastAsia" w:ascii="Times New Roman" w:hAnsi="Times New Roman" w:eastAsia="宋体" w:cs="Times New Roman"/>
                <w:bCs w:val="0"/>
                <w:spacing w:val="0"/>
                <w:kern w:val="2"/>
                <w:sz w:val="21"/>
                <w:szCs w:val="22"/>
                <w:lang w:val="en-US" w:eastAsia="zh-CN" w:bidi="ar-SA"/>
              </w:rPr>
              <w:t>评价组人员一致认为公司遵守国家、地方法律法规和其它要求符合、有效；全部合规。</w:t>
            </w:r>
          </w:p>
          <w:p>
            <w:pPr>
              <w:pStyle w:val="14"/>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cs="Times New Roman"/>
                <w:color w:val="0000FF"/>
                <w:sz w:val="21"/>
                <w:szCs w:val="21"/>
                <w:highlight w:val="none"/>
                <w:lang w:val="en-US" w:eastAsia="zh-CN"/>
              </w:rPr>
            </w:pPr>
            <w:r>
              <w:rPr>
                <w:rFonts w:hint="eastAsia" w:cs="Times New Roman"/>
                <w:color w:val="0000FF"/>
                <w:sz w:val="21"/>
                <w:szCs w:val="21"/>
                <w:highlight w:val="none"/>
                <w:lang w:val="en-US" w:eastAsia="zh-CN"/>
              </w:rPr>
              <w:t>没有收集地方性的能源法律法规</w:t>
            </w:r>
          </w:p>
        </w:tc>
        <w:tc>
          <w:tcPr>
            <w:tcW w:w="717" w:type="dxa"/>
          </w:tcPr>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bookmarkStart w:id="3" w:name="_GoBack"/>
            <w:bookmarkEnd w:id="3"/>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r>
              <w:rPr>
                <w:rFonts w:hint="eastAsia" w:ascii="Times New Roman" w:hAnsi="Times New Roman" w:cs="Times New Roman"/>
                <w:color w:val="0000FF"/>
                <w:sz w:val="21"/>
                <w:szCs w:val="21"/>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内审</w:t>
            </w:r>
          </w:p>
        </w:tc>
        <w:tc>
          <w:tcPr>
            <w:tcW w:w="960" w:type="dxa"/>
          </w:tcPr>
          <w:p>
            <w:pP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9.2</w:t>
            </w:r>
          </w:p>
        </w:tc>
        <w:tc>
          <w:tcPr>
            <w:tcW w:w="10872" w:type="dxa"/>
            <w:gridSpan w:val="2"/>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en-US" w:eastAsia="zh-CN"/>
              </w:rPr>
              <w:t>公司</w:t>
            </w:r>
            <w:r>
              <w:rPr>
                <w:rFonts w:hint="eastAsia" w:ascii="Times New Roman" w:hAnsi="Times New Roman" w:eastAsia="宋体" w:cs="Times New Roman"/>
                <w:szCs w:val="22"/>
                <w:lang w:val="zh-CN" w:eastAsia="zh-CN"/>
              </w:rPr>
              <w:t>制定并实施《内部审核控制程序》，有计划地通过内审来衡量公司的</w:t>
            </w:r>
            <w:r>
              <w:rPr>
                <w:rFonts w:hint="eastAsia" w:ascii="Times New Roman" w:hAnsi="Times New Roman" w:eastAsia="宋体" w:cs="Times New Roman"/>
                <w:szCs w:val="22"/>
                <w:lang w:val="en-US" w:eastAsia="zh-CN"/>
              </w:rPr>
              <w:t>能源</w:t>
            </w:r>
            <w:r>
              <w:rPr>
                <w:rFonts w:hint="eastAsia" w:ascii="Times New Roman" w:hAnsi="Times New Roman" w:eastAsia="宋体" w:cs="Times New Roman"/>
                <w:szCs w:val="22"/>
                <w:lang w:val="zh-CN" w:eastAsia="zh-CN"/>
              </w:rPr>
              <w:t>管理体系是否符合标准、文件、顾客及法律法规要求；是否有效地实施和保持。</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查：内审资料汇编，包括：内审通知书、内审实施计划、内审首次会议签到表、内审检查表、内审末次会议签到表、内部审核报告、不符合项报告、培训效果确认记录等。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lang w:val="en-US" w:eastAsia="zh-CN"/>
              </w:rPr>
              <w:t>2021</w:t>
            </w:r>
            <w:r>
              <w:rPr>
                <w:rFonts w:hint="eastAsia"/>
              </w:rPr>
              <w:t>.</w:t>
            </w:r>
            <w:r>
              <w:rPr>
                <w:rFonts w:hint="eastAsia"/>
                <w:lang w:val="en-US" w:eastAsia="zh-CN"/>
              </w:rPr>
              <w:t>11.6</w:t>
            </w:r>
            <w:r>
              <w:rPr>
                <w:rFonts w:hint="eastAsia" w:cs="宋体"/>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eastAsia="宋体" w:cs="宋体"/>
                <w:lang w:val="en-US" w:eastAsia="zh-CN"/>
              </w:rPr>
            </w:pPr>
            <w:r>
              <w:rPr>
                <w:rFonts w:hint="eastAsia" w:cs="宋体"/>
              </w:rPr>
              <w:t>《</w:t>
            </w:r>
            <w:r>
              <w:rPr>
                <w:rFonts w:hint="eastAsia" w:cs="宋体"/>
                <w:lang w:val="en-US" w:eastAsia="zh-CN"/>
              </w:rPr>
              <w:t>2021年内部</w:t>
            </w:r>
            <w:r>
              <w:rPr>
                <w:rFonts w:hint="eastAsia" w:cs="宋体"/>
              </w:rPr>
              <w:t>审核实施计划》，编制：</w:t>
            </w:r>
            <w:r>
              <w:rPr>
                <w:rFonts w:hint="eastAsia" w:cs="Times New Roman"/>
                <w:szCs w:val="22"/>
                <w:lang w:val="en-US" w:eastAsia="zh-CN"/>
              </w:rPr>
              <w:t>龚莉</w:t>
            </w:r>
            <w:r>
              <w:rPr>
                <w:rFonts w:hint="eastAsia" w:ascii="Times New Roman" w:hAnsi="Times New Roman" w:eastAsia="宋体" w:cs="Times New Roman"/>
                <w:szCs w:val="22"/>
                <w:lang w:val="en-US" w:eastAsia="zh-CN"/>
              </w:rPr>
              <w:t>2</w:t>
            </w:r>
            <w:r>
              <w:rPr>
                <w:rFonts w:hint="eastAsia" w:cs="宋体"/>
              </w:rPr>
              <w:t>0</w:t>
            </w:r>
            <w:r>
              <w:rPr>
                <w:rFonts w:hint="eastAsia" w:cs="宋体"/>
                <w:lang w:val="en-US" w:eastAsia="zh-CN"/>
              </w:rPr>
              <w:t>21</w:t>
            </w:r>
            <w:r>
              <w:rPr>
                <w:rFonts w:hint="eastAsia" w:cs="宋体"/>
              </w:rPr>
              <w:t>.</w:t>
            </w:r>
            <w:r>
              <w:rPr>
                <w:rFonts w:hint="eastAsia" w:cs="宋体"/>
                <w:lang w:val="en-US" w:eastAsia="zh-CN"/>
              </w:rPr>
              <w:t>11</w:t>
            </w:r>
            <w:r>
              <w:rPr>
                <w:rFonts w:hint="eastAsia" w:cs="宋体"/>
              </w:rPr>
              <w:t>.</w:t>
            </w:r>
            <w:r>
              <w:rPr>
                <w:rFonts w:hint="eastAsia" w:cs="宋体"/>
                <w:lang w:val="en-US" w:eastAsia="zh-CN"/>
              </w:rPr>
              <w:t>5</w:t>
            </w:r>
            <w:r>
              <w:t xml:space="preserve"> </w:t>
            </w:r>
            <w:r>
              <w:rPr>
                <w:rFonts w:hint="eastAsia" w:cs="宋体"/>
              </w:rPr>
              <w:t>批准：</w:t>
            </w:r>
            <w:r>
              <w:rPr>
                <w:rFonts w:hint="eastAsia" w:cs="宋体"/>
                <w:lang w:val="en-US" w:eastAsia="zh-CN"/>
              </w:rPr>
              <w:t>周翔</w:t>
            </w:r>
            <w:r>
              <w:rPr>
                <w:rFonts w:hint="eastAsia" w:cs="宋体"/>
              </w:rPr>
              <w:t>20</w:t>
            </w:r>
            <w:r>
              <w:rPr>
                <w:rFonts w:hint="eastAsia" w:cs="宋体"/>
                <w:lang w:val="en-US" w:eastAsia="zh-CN"/>
              </w:rPr>
              <w:t>21</w:t>
            </w:r>
            <w:r>
              <w:rPr>
                <w:rFonts w:hint="eastAsia" w:cs="宋体"/>
              </w:rPr>
              <w:t>.</w:t>
            </w:r>
            <w:r>
              <w:rPr>
                <w:rFonts w:hint="eastAsia" w:cs="宋体"/>
                <w:lang w:val="en-US" w:eastAsia="zh-CN"/>
              </w:rPr>
              <w:t>11</w:t>
            </w:r>
            <w:r>
              <w:rPr>
                <w:rFonts w:hint="eastAsia" w:cs="宋体"/>
              </w:rPr>
              <w:t>.</w:t>
            </w:r>
            <w:r>
              <w:rPr>
                <w:rFonts w:hint="eastAsia" w:cs="宋体"/>
                <w:lang w:val="en-US" w:eastAsia="zh-CN"/>
              </w:rPr>
              <w:t>5</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cs="宋体"/>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cs="宋体"/>
              </w:rPr>
              <w:t>审核组组长：</w:t>
            </w:r>
            <w:r>
              <w:rPr>
                <w:rFonts w:hint="eastAsia" w:cs="Times New Roman"/>
                <w:szCs w:val="22"/>
                <w:lang w:val="en-US" w:eastAsia="zh-CN"/>
              </w:rPr>
              <w:t>周翔</w:t>
            </w:r>
            <w:r>
              <w:rPr>
                <w:rFonts w:hint="eastAsia" w:cs="宋体"/>
              </w:rPr>
              <w:t>，组员：</w:t>
            </w:r>
            <w:r>
              <w:rPr>
                <w:rFonts w:hint="eastAsia" w:ascii="Times New Roman" w:hAnsi="Times New Roman" w:cs="宋体"/>
                <w:lang w:eastAsia="zh-CN"/>
              </w:rPr>
              <w:t>肖亚琳</w:t>
            </w:r>
            <w:r>
              <w:rPr>
                <w:rFonts w:hint="eastAsia" w:ascii="Times New Roman" w:hAnsi="Times New Roman" w:cs="宋体"/>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cs="宋体"/>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cs="宋体"/>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cs="宋体"/>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eastAsia="宋体"/>
                <w:lang w:val="en-US" w:eastAsia="zh-CN"/>
              </w:rPr>
            </w:pPr>
            <w:r>
              <w:rPr>
                <w:rFonts w:hint="eastAsia" w:cs="宋体"/>
              </w:rPr>
              <w:t>内审发现</w:t>
            </w:r>
            <w:r>
              <w:rPr>
                <w:rFonts w:hint="eastAsia"/>
              </w:rPr>
              <w:t>1</w:t>
            </w:r>
            <w:r>
              <w:rPr>
                <w:rFonts w:hint="eastAsia" w:cs="宋体"/>
              </w:rPr>
              <w:t>项不合格，为一般不符合项，查看《不符合报告》，</w:t>
            </w:r>
            <w:r>
              <w:rPr>
                <w:rFonts w:hint="eastAsia" w:cs="宋体"/>
                <w:lang w:val="en-US" w:eastAsia="zh-CN"/>
              </w:rPr>
              <w:t>有</w:t>
            </w:r>
            <w:r>
              <w:rPr>
                <w:rFonts w:hint="eastAsia" w:cs="宋体"/>
              </w:rPr>
              <w:t>原因分析准确，并制定了纠正及纠正预防措施，且措施可行，并对其有效性进行了验证，验证人：</w:t>
            </w:r>
            <w:r>
              <w:rPr>
                <w:rFonts w:hint="eastAsia" w:cs="Times New Roman"/>
                <w:szCs w:val="22"/>
                <w:lang w:val="en-US" w:eastAsia="zh-CN"/>
              </w:rPr>
              <w:t>龚莉</w:t>
            </w:r>
            <w:r>
              <w:rPr>
                <w:rFonts w:hint="eastAsia" w:cs="宋体"/>
              </w:rPr>
              <w:t>20</w:t>
            </w:r>
            <w:r>
              <w:rPr>
                <w:rFonts w:hint="eastAsia" w:cs="宋体"/>
                <w:lang w:val="en-US" w:eastAsia="zh-CN"/>
              </w:rPr>
              <w:t>21.11.7</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微软雅黑" w:hAnsi="微软雅黑" w:eastAsia="微软雅黑"/>
                <w:sz w:val="24"/>
              </w:rPr>
            </w:pPr>
            <w:r>
              <w:rPr>
                <w:rFonts w:hint="eastAsia" w:cs="宋体"/>
              </w:rPr>
              <w:t>内审编制有《</w:t>
            </w:r>
            <w:r>
              <w:rPr>
                <w:rFonts w:hint="eastAsia" w:cs="宋体"/>
                <w:lang w:val="en-US" w:eastAsia="zh-CN"/>
              </w:rPr>
              <w:t>2021年</w:t>
            </w:r>
            <w:r>
              <w:rPr>
                <w:rFonts w:hint="eastAsia" w:cs="宋体"/>
              </w:rPr>
              <w:t>内部管理体系审核报告》</w:t>
            </w:r>
            <w:r>
              <w:rPr>
                <w:rFonts w:hint="eastAsia" w:cs="宋体"/>
                <w:lang w:val="en-US" w:eastAsia="zh-CN"/>
              </w:rPr>
              <w:t>，</w:t>
            </w:r>
            <w:r>
              <w:rPr>
                <w:rFonts w:hint="eastAsia" w:cs="宋体"/>
              </w:rPr>
              <w:t>结论：</w:t>
            </w:r>
            <w:r>
              <w:rPr>
                <w:rFonts w:hint="eastAsia" w:ascii="Times New Roman" w:hAnsi="Times New Roman" w:eastAsia="宋体" w:cs="宋体"/>
                <w:szCs w:val="22"/>
              </w:rPr>
              <w:t>公司能源管理体系运行符合标准要求，适宜公司现状，能源管理体系运行有效，ISO50001：2018</w:t>
            </w:r>
            <w:r>
              <w:rPr>
                <w:rFonts w:hint="eastAsia" w:ascii="Times New Roman" w:hAnsi="Times New Roman" w:eastAsia="宋体" w:cs="宋体"/>
                <w:szCs w:val="22"/>
                <w:lang w:val="en-US" w:eastAsia="zh-CN"/>
              </w:rPr>
              <w:t>标准</w:t>
            </w:r>
            <w:r>
              <w:rPr>
                <w:rFonts w:hint="eastAsia" w:ascii="Times New Roman" w:hAnsi="Times New Roman" w:eastAsia="宋体" w:cs="宋体"/>
                <w:szCs w:val="22"/>
              </w:rPr>
              <w:t>相关要求在公司得到了有效的</w:t>
            </w:r>
            <w:r>
              <w:rPr>
                <w:rFonts w:hint="eastAsia" w:ascii="Times New Roman" w:hAnsi="Times New Roman" w:eastAsia="宋体" w:cs="宋体"/>
                <w:szCs w:val="22"/>
                <w:lang w:val="en-US" w:eastAsia="zh-CN"/>
              </w:rPr>
              <w:t>执行</w:t>
            </w:r>
            <w:r>
              <w:rPr>
                <w:rFonts w:hint="eastAsia" w:ascii="Times New Roman" w:hAnsi="Times New Roman" w:eastAsia="宋体" w:cs="宋体"/>
                <w:szCs w:val="22"/>
              </w:rPr>
              <w:t>。</w:t>
            </w:r>
            <w:r>
              <w:rPr>
                <w:rFonts w:hint="eastAsia" w:ascii="微软雅黑" w:hAnsi="微软雅黑" w:eastAsia="微软雅黑"/>
                <w:sz w:val="24"/>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cs="宋体"/>
              </w:rPr>
            </w:pPr>
            <w:r>
              <w:rPr>
                <w:rFonts w:hint="eastAsia" w:cs="宋体"/>
              </w:rPr>
              <w:t>编制：</w:t>
            </w:r>
            <w:r>
              <w:rPr>
                <w:rFonts w:hint="eastAsia" w:cs="Times New Roman"/>
                <w:szCs w:val="22"/>
                <w:lang w:val="en-US" w:eastAsia="zh-CN"/>
              </w:rPr>
              <w:t>龚莉</w:t>
            </w:r>
            <w:r>
              <w:rPr>
                <w:rFonts w:hint="eastAsia" w:cs="宋体"/>
              </w:rPr>
              <w:t>20</w:t>
            </w:r>
            <w:r>
              <w:rPr>
                <w:rFonts w:hint="eastAsia" w:cs="宋体"/>
                <w:lang w:val="en-US" w:eastAsia="zh-CN"/>
              </w:rPr>
              <w:t>21</w:t>
            </w:r>
            <w:r>
              <w:rPr>
                <w:rFonts w:hint="eastAsia" w:cs="宋体"/>
              </w:rPr>
              <w:t>年</w:t>
            </w:r>
            <w:r>
              <w:rPr>
                <w:rFonts w:hint="eastAsia" w:cs="宋体"/>
                <w:lang w:val="en-US" w:eastAsia="zh-CN"/>
              </w:rPr>
              <w:t>11</w:t>
            </w:r>
            <w:r>
              <w:rPr>
                <w:rFonts w:hint="eastAsia" w:cs="宋体"/>
              </w:rPr>
              <w:t>月</w:t>
            </w:r>
            <w:r>
              <w:rPr>
                <w:rFonts w:hint="eastAsia" w:cs="宋体"/>
                <w:lang w:val="en-US" w:eastAsia="zh-CN"/>
              </w:rPr>
              <w:t>6</w:t>
            </w:r>
            <w:r>
              <w:rPr>
                <w:rFonts w:hint="eastAsia" w:cs="宋体"/>
              </w:rPr>
              <w:t xml:space="preserve">日   </w:t>
            </w:r>
            <w:r>
              <w:t xml:space="preserve"> </w:t>
            </w:r>
            <w:r>
              <w:rPr>
                <w:rFonts w:hint="eastAsia" w:cs="宋体"/>
              </w:rPr>
              <w:t>批准：</w:t>
            </w:r>
            <w:r>
              <w:rPr>
                <w:rFonts w:hint="eastAsia" w:cs="宋体"/>
                <w:lang w:val="en-US" w:eastAsia="zh-CN"/>
              </w:rPr>
              <w:t>周翔</w:t>
            </w:r>
            <w:r>
              <w:rPr>
                <w:rFonts w:hint="eastAsia" w:cs="宋体"/>
              </w:rPr>
              <w:t>20</w:t>
            </w:r>
            <w:r>
              <w:rPr>
                <w:rFonts w:hint="eastAsia" w:cs="宋体"/>
                <w:lang w:val="en-US" w:eastAsia="zh-CN"/>
              </w:rPr>
              <w:t>21</w:t>
            </w:r>
            <w:r>
              <w:rPr>
                <w:rFonts w:hint="eastAsia" w:cs="宋体"/>
              </w:rPr>
              <w:t>年</w:t>
            </w:r>
            <w:r>
              <w:rPr>
                <w:rFonts w:hint="eastAsia" w:cs="宋体"/>
                <w:lang w:val="en-US" w:eastAsia="zh-CN"/>
              </w:rPr>
              <w:t>11</w:t>
            </w:r>
            <w:r>
              <w:rPr>
                <w:rFonts w:hint="eastAsia" w:cs="宋体"/>
              </w:rPr>
              <w:t>月</w:t>
            </w:r>
            <w:r>
              <w:rPr>
                <w:rFonts w:hint="eastAsia" w:cs="宋体"/>
                <w:lang w:val="en-US" w:eastAsia="zh-CN"/>
              </w:rPr>
              <w:t>6</w:t>
            </w:r>
            <w:r>
              <w:rPr>
                <w:rFonts w:hint="eastAsia" w:cs="宋体"/>
              </w:rPr>
              <w:t>日</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cs="宋体"/>
              </w:rPr>
              <w:t>经查，符合要求。</w:t>
            </w:r>
          </w:p>
        </w:tc>
        <w:tc>
          <w:tcPr>
            <w:tcW w:w="717"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不符合及纠正措施</w:t>
            </w:r>
          </w:p>
        </w:tc>
        <w:tc>
          <w:tcPr>
            <w:tcW w:w="960" w:type="dxa"/>
          </w:tcPr>
          <w:p>
            <w:pP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10.1</w:t>
            </w:r>
          </w:p>
        </w:tc>
        <w:tc>
          <w:tcPr>
            <w:tcW w:w="10872" w:type="dxa"/>
            <w:gridSpan w:val="2"/>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lang w:val="en-US" w:eastAsia="zh-CN"/>
              </w:rPr>
            </w:pPr>
            <w:r>
              <w:rPr>
                <w:rFonts w:hint="eastAsia"/>
                <w:lang w:val="en-US" w:eastAsia="zh-CN"/>
              </w:rPr>
              <w:t>查综合部检查问题已整改</w:t>
            </w:r>
          </w:p>
          <w:p>
            <w:pPr>
              <w:pStyle w:val="14"/>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内审不符合已整改，问题项已落实整改措施。纠正措施基本到位</w:t>
            </w:r>
          </w:p>
          <w:p>
            <w:pPr>
              <w:pStyle w:val="14"/>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lang w:val="en-US" w:eastAsia="zh-CN"/>
              </w:rPr>
            </w:pPr>
            <w:r>
              <w:rPr>
                <w:rFonts w:hint="eastAsia"/>
                <w:lang w:val="en-US" w:eastAsia="zh-CN"/>
              </w:rPr>
              <w:t>基本符合要求。</w:t>
            </w:r>
          </w:p>
        </w:tc>
        <w:tc>
          <w:tcPr>
            <w:tcW w:w="717" w:type="dxa"/>
          </w:tcPr>
          <w:p>
            <w:pPr>
              <w:rPr>
                <w:rFonts w:hint="eastAsia"/>
                <w:lang w:val="en-US" w:eastAsia="zh-CN"/>
              </w:rPr>
            </w:pPr>
          </w:p>
          <w:p>
            <w:pPr>
              <w:ind w:firstLine="210" w:firstLineChars="100"/>
              <w:rPr>
                <w:rFonts w:hint="default"/>
                <w:lang w:val="en-US" w:eastAsia="zh-CN"/>
              </w:rPr>
            </w:pPr>
            <w:r>
              <w:rPr>
                <w:rFonts w:hint="eastAsia"/>
                <w:lang w:val="en-US" w:eastAsia="zh-CN"/>
              </w:rPr>
              <w:t>y</w:t>
            </w:r>
          </w:p>
          <w:p>
            <w:pPr>
              <w:pStyle w:val="11"/>
              <w:rPr>
                <w:rFonts w:hint="eastAsia"/>
                <w:lang w:val="en-US" w:eastAsia="zh-CN"/>
              </w:rPr>
            </w:pPr>
          </w:p>
        </w:tc>
      </w:tr>
    </w:tbl>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3"/>
        <w:gridCol w:w="1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52"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技术部</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肖顺  </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龚莉</w:t>
            </w:r>
          </w:p>
        </w:tc>
        <w:tc>
          <w:tcPr>
            <w:tcW w:w="7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52"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周涛、李俊强  </w:t>
            </w:r>
            <w:r>
              <w:rPr>
                <w:sz w:val="24"/>
                <w:szCs w:val="24"/>
              </w:rPr>
              <w:t xml:space="preserve">         </w:t>
            </w:r>
            <w:r>
              <w:rPr>
                <w:rFonts w:hint="eastAsia"/>
                <w:sz w:val="24"/>
                <w:szCs w:val="24"/>
              </w:rPr>
              <w:t>审核时间：</w:t>
            </w:r>
            <w:r>
              <w:rPr>
                <w:rFonts w:hint="eastAsia"/>
                <w:sz w:val="24"/>
                <w:szCs w:val="24"/>
                <w:lang w:val="en-US" w:eastAsia="zh-CN"/>
              </w:rPr>
              <w:t>2021.</w:t>
            </w:r>
            <w:r>
              <w:rPr>
                <w:rFonts w:hint="eastAsia"/>
                <w:sz w:val="24"/>
                <w:szCs w:val="24"/>
                <w:highlight w:val="none"/>
                <w:lang w:val="en-US" w:eastAsia="zh-CN"/>
              </w:rPr>
              <w:t>12.23</w:t>
            </w:r>
          </w:p>
        </w:tc>
        <w:tc>
          <w:tcPr>
            <w:tcW w:w="7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52" w:type="dxa"/>
            <w:gridSpan w:val="2"/>
            <w:vAlign w:val="center"/>
          </w:tcPr>
          <w:p>
            <w:pPr>
              <w:tabs>
                <w:tab w:val="left" w:pos="709"/>
              </w:tabs>
              <w:ind w:right="57" w:rightChars="0"/>
              <w:rPr>
                <w:rFonts w:hint="default"/>
                <w:sz w:val="24"/>
                <w:szCs w:val="24"/>
                <w:lang w:val="en-US"/>
              </w:rPr>
            </w:pPr>
            <w:r>
              <w:rPr>
                <w:rFonts w:hint="eastAsia"/>
                <w:sz w:val="24"/>
                <w:szCs w:val="24"/>
              </w:rPr>
              <w:t>审核条款：</w:t>
            </w:r>
            <w:r>
              <w:rPr>
                <w:rFonts w:hint="eastAsia" w:ascii="Times New Roman" w:hAnsi="Times New Roman" w:eastAsia="宋体" w:cs="Times New Roman"/>
                <w:bCs w:val="0"/>
                <w:spacing w:val="0"/>
                <w:kern w:val="2"/>
                <w:sz w:val="21"/>
                <w:szCs w:val="21"/>
                <w:lang w:val="en-US" w:eastAsia="zh-CN" w:bidi="ar-SA"/>
              </w:rPr>
              <w:t>En:5.3/6.2/8.1/8.2/9.1.1/10.1/</w:t>
            </w:r>
            <w:r>
              <w:rPr>
                <w:rFonts w:hint="eastAsia" w:cs="Times New Roman"/>
                <w:bCs w:val="0"/>
                <w:spacing w:val="0"/>
                <w:kern w:val="2"/>
                <w:sz w:val="21"/>
                <w:szCs w:val="21"/>
                <w:lang w:val="en-US" w:eastAsia="zh-CN" w:bidi="ar-SA"/>
              </w:rPr>
              <w:t>10.2</w:t>
            </w:r>
          </w:p>
        </w:tc>
        <w:tc>
          <w:tcPr>
            <w:tcW w:w="7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hint="default"/>
                <w:sz w:val="24"/>
                <w:szCs w:val="24"/>
                <w:lang w:val="en-US" w:eastAsia="zh-CN"/>
              </w:rPr>
            </w:pPr>
            <w:r>
              <w:rPr>
                <w:rFonts w:hint="eastAsia"/>
                <w:sz w:val="24"/>
                <w:szCs w:val="24"/>
              </w:rPr>
              <w:t>组织的岗位、</w:t>
            </w:r>
            <w:r>
              <w:rPr>
                <w:rFonts w:hint="eastAsia"/>
                <w:sz w:val="24"/>
                <w:szCs w:val="24"/>
                <w:lang w:val="en-US" w:eastAsia="zh-CN"/>
              </w:rPr>
              <w:t>职责权限</w:t>
            </w:r>
          </w:p>
        </w:tc>
        <w:tc>
          <w:tcPr>
            <w:tcW w:w="960" w:type="dxa"/>
          </w:tcPr>
          <w:p>
            <w:pPr>
              <w:rPr>
                <w:rFonts w:hint="default"/>
                <w:sz w:val="24"/>
                <w:szCs w:val="24"/>
                <w:lang w:val="en-US" w:eastAsia="zh-CN"/>
              </w:rPr>
            </w:pPr>
            <w:r>
              <w:rPr>
                <w:rFonts w:hint="eastAsia"/>
                <w:sz w:val="24"/>
                <w:szCs w:val="24"/>
                <w:lang w:val="en-US" w:eastAsia="zh-CN"/>
              </w:rPr>
              <w:t>En5.3</w:t>
            </w:r>
          </w:p>
        </w:tc>
        <w:tc>
          <w:tcPr>
            <w:tcW w:w="10852" w:type="dxa"/>
            <w:gridSpan w:val="2"/>
          </w:tcPr>
          <w:p>
            <w:pPr>
              <w:rPr>
                <w:rFonts w:hint="eastAsia"/>
                <w:sz w:val="24"/>
                <w:szCs w:val="24"/>
                <w:lang w:val="en-US" w:eastAsia="zh-CN"/>
              </w:rPr>
            </w:pPr>
            <w:r>
              <w:rPr>
                <w:rFonts w:hint="eastAsia"/>
                <w:sz w:val="24"/>
                <w:szCs w:val="24"/>
                <w:lang w:val="en-US" w:eastAsia="zh-CN"/>
              </w:rPr>
              <w:t>技术部职责：</w:t>
            </w:r>
          </w:p>
          <w:p>
            <w:pPr>
              <w:rPr>
                <w:rFonts w:hint="eastAsia"/>
                <w:sz w:val="24"/>
                <w:szCs w:val="24"/>
                <w:lang w:val="en-US" w:eastAsia="zh-CN"/>
              </w:rPr>
            </w:pPr>
            <w:r>
              <w:rPr>
                <w:rFonts w:hint="eastAsia"/>
                <w:sz w:val="24"/>
                <w:szCs w:val="24"/>
                <w:lang w:val="en-US" w:eastAsia="zh-CN"/>
              </w:rPr>
              <w:t>技术部的职责主要分现有产品完善和优化、新产品开发、技术支持三大部分。</w:t>
            </w:r>
          </w:p>
          <w:p>
            <w:pPr>
              <w:rPr>
                <w:rFonts w:hint="eastAsia"/>
                <w:sz w:val="24"/>
                <w:szCs w:val="24"/>
                <w:lang w:val="en-US" w:eastAsia="zh-CN"/>
              </w:rPr>
            </w:pPr>
            <w:r>
              <w:rPr>
                <w:rFonts w:hint="eastAsia"/>
                <w:sz w:val="24"/>
                <w:szCs w:val="24"/>
                <w:lang w:val="en-US" w:eastAsia="zh-CN"/>
              </w:rPr>
              <w:t>一、现有产品完善和优化</w:t>
            </w:r>
          </w:p>
          <w:p>
            <w:pPr>
              <w:rPr>
                <w:rFonts w:hint="eastAsia"/>
                <w:sz w:val="24"/>
                <w:szCs w:val="24"/>
                <w:lang w:val="en-US" w:eastAsia="zh-CN"/>
              </w:rPr>
            </w:pPr>
            <w:r>
              <w:rPr>
                <w:rFonts w:hint="eastAsia"/>
                <w:sz w:val="24"/>
                <w:szCs w:val="24"/>
                <w:lang w:val="en-US" w:eastAsia="zh-CN"/>
              </w:rPr>
              <w:t>1、现有产品的图纸完善和保管。</w:t>
            </w:r>
          </w:p>
          <w:p>
            <w:pPr>
              <w:rPr>
                <w:rFonts w:hint="eastAsia"/>
                <w:sz w:val="24"/>
                <w:szCs w:val="24"/>
                <w:lang w:val="en-US" w:eastAsia="zh-CN"/>
              </w:rPr>
            </w:pPr>
            <w:r>
              <w:rPr>
                <w:rFonts w:hint="eastAsia"/>
                <w:sz w:val="24"/>
                <w:szCs w:val="24"/>
                <w:lang w:val="en-US" w:eastAsia="zh-CN"/>
              </w:rPr>
              <w:t>2、制定、下发、定期更新一线工人的生产图纸。</w:t>
            </w:r>
          </w:p>
          <w:p>
            <w:pPr>
              <w:rPr>
                <w:rFonts w:hint="eastAsia"/>
                <w:sz w:val="24"/>
                <w:szCs w:val="24"/>
                <w:lang w:val="en-US" w:eastAsia="zh-CN"/>
              </w:rPr>
            </w:pPr>
            <w:r>
              <w:rPr>
                <w:rFonts w:hint="eastAsia"/>
                <w:sz w:val="24"/>
                <w:szCs w:val="24"/>
                <w:lang w:val="en-US" w:eastAsia="zh-CN"/>
              </w:rPr>
              <w:t>3、现有产品在设计上的优化和改进。</w:t>
            </w:r>
          </w:p>
          <w:p>
            <w:pPr>
              <w:rPr>
                <w:rFonts w:hint="eastAsia"/>
                <w:sz w:val="24"/>
                <w:szCs w:val="24"/>
                <w:lang w:val="en-US" w:eastAsia="zh-CN"/>
              </w:rPr>
            </w:pPr>
            <w:r>
              <w:rPr>
                <w:rFonts w:hint="eastAsia"/>
                <w:sz w:val="24"/>
                <w:szCs w:val="24"/>
                <w:lang w:val="en-US" w:eastAsia="zh-CN"/>
              </w:rPr>
              <w:t>4、组织相关部门进行改进方案的试验和评审。</w:t>
            </w:r>
          </w:p>
          <w:p>
            <w:pPr>
              <w:rPr>
                <w:rFonts w:hint="eastAsia"/>
                <w:sz w:val="24"/>
                <w:szCs w:val="24"/>
                <w:lang w:val="en-US" w:eastAsia="zh-CN"/>
              </w:rPr>
            </w:pPr>
            <w:r>
              <w:rPr>
                <w:rFonts w:hint="eastAsia"/>
                <w:sz w:val="24"/>
                <w:szCs w:val="24"/>
                <w:lang w:val="en-US" w:eastAsia="zh-CN"/>
              </w:rPr>
              <w:t>5、跟踪、解决改进后产品在生产加工上出现的问题。</w:t>
            </w:r>
          </w:p>
          <w:p>
            <w:pPr>
              <w:rPr>
                <w:rFonts w:hint="eastAsia"/>
                <w:sz w:val="24"/>
                <w:szCs w:val="24"/>
                <w:lang w:val="en-US" w:eastAsia="zh-CN"/>
              </w:rPr>
            </w:pPr>
            <w:r>
              <w:rPr>
                <w:rFonts w:hint="eastAsia"/>
                <w:sz w:val="24"/>
                <w:szCs w:val="24"/>
                <w:lang w:val="en-US" w:eastAsia="zh-CN"/>
              </w:rPr>
              <w:t>6、通知其他部门技改的相关内容，会同其他部门做好相关资料的变更工作。</w:t>
            </w:r>
          </w:p>
          <w:p>
            <w:pPr>
              <w:rPr>
                <w:rFonts w:hint="eastAsia"/>
                <w:sz w:val="24"/>
                <w:szCs w:val="24"/>
                <w:lang w:val="en-US" w:eastAsia="zh-CN"/>
              </w:rPr>
            </w:pPr>
            <w:r>
              <w:rPr>
                <w:rFonts w:hint="eastAsia"/>
                <w:sz w:val="24"/>
                <w:szCs w:val="24"/>
                <w:lang w:val="en-US" w:eastAsia="zh-CN"/>
              </w:rPr>
              <w:t>二、新产品开发</w:t>
            </w:r>
          </w:p>
          <w:p>
            <w:pPr>
              <w:rPr>
                <w:rFonts w:hint="eastAsia"/>
                <w:sz w:val="24"/>
                <w:szCs w:val="24"/>
                <w:lang w:val="en-US" w:eastAsia="zh-CN"/>
              </w:rPr>
            </w:pPr>
            <w:r>
              <w:rPr>
                <w:rFonts w:hint="eastAsia"/>
                <w:sz w:val="24"/>
                <w:szCs w:val="24"/>
                <w:lang w:val="en-US" w:eastAsia="zh-CN"/>
              </w:rPr>
              <w:t>1、制定新产品开发计划，组织开展新产品开发工作。</w:t>
            </w:r>
          </w:p>
          <w:p>
            <w:pPr>
              <w:rPr>
                <w:rFonts w:hint="eastAsia"/>
                <w:sz w:val="24"/>
                <w:szCs w:val="24"/>
                <w:lang w:val="en-US" w:eastAsia="zh-CN"/>
              </w:rPr>
            </w:pPr>
            <w:r>
              <w:rPr>
                <w:rFonts w:hint="eastAsia"/>
                <w:sz w:val="24"/>
                <w:szCs w:val="24"/>
                <w:lang w:val="en-US" w:eastAsia="zh-CN"/>
              </w:rPr>
              <w:t>2、组织开展新产品项目技术可行性分析。</w:t>
            </w:r>
          </w:p>
          <w:p>
            <w:pPr>
              <w:rPr>
                <w:rFonts w:hint="eastAsia"/>
                <w:sz w:val="24"/>
                <w:szCs w:val="24"/>
                <w:lang w:val="en-US" w:eastAsia="zh-CN"/>
              </w:rPr>
            </w:pPr>
            <w:r>
              <w:rPr>
                <w:rFonts w:hint="eastAsia"/>
                <w:sz w:val="24"/>
                <w:szCs w:val="24"/>
                <w:lang w:val="en-US" w:eastAsia="zh-CN"/>
              </w:rPr>
              <w:t>3、制定新产品设计方案，参与设计过程中的各种评审。</w:t>
            </w:r>
          </w:p>
          <w:p>
            <w:pPr>
              <w:rPr>
                <w:rFonts w:hint="eastAsia"/>
                <w:sz w:val="24"/>
                <w:szCs w:val="24"/>
                <w:lang w:val="en-US" w:eastAsia="zh-CN"/>
              </w:rPr>
            </w:pPr>
            <w:r>
              <w:rPr>
                <w:rFonts w:hint="eastAsia"/>
                <w:sz w:val="24"/>
                <w:szCs w:val="24"/>
                <w:lang w:val="en-US" w:eastAsia="zh-CN"/>
              </w:rPr>
              <w:t>4、会同其他部门做好新产品的开发工作。</w:t>
            </w:r>
          </w:p>
          <w:p>
            <w:pPr>
              <w:rPr>
                <w:rFonts w:hint="eastAsia"/>
                <w:sz w:val="24"/>
                <w:szCs w:val="24"/>
                <w:lang w:val="en-US" w:eastAsia="zh-CN"/>
              </w:rPr>
            </w:pPr>
            <w:r>
              <w:rPr>
                <w:rFonts w:hint="eastAsia"/>
                <w:sz w:val="24"/>
                <w:szCs w:val="24"/>
                <w:lang w:val="en-US" w:eastAsia="zh-CN"/>
              </w:rPr>
              <w:t>5、新产品的使用说明与使用跟踪。</w:t>
            </w:r>
          </w:p>
          <w:p>
            <w:pPr>
              <w:rPr>
                <w:rFonts w:hint="eastAsia"/>
                <w:sz w:val="24"/>
                <w:szCs w:val="24"/>
                <w:lang w:val="en-US" w:eastAsia="zh-CN"/>
              </w:rPr>
            </w:pPr>
            <w:r>
              <w:rPr>
                <w:rFonts w:hint="eastAsia"/>
                <w:sz w:val="24"/>
                <w:szCs w:val="24"/>
                <w:lang w:val="en-US" w:eastAsia="zh-CN"/>
              </w:rPr>
              <w:t>三、技术支持</w:t>
            </w:r>
          </w:p>
          <w:p>
            <w:pPr>
              <w:rPr>
                <w:rFonts w:hint="eastAsia"/>
                <w:sz w:val="24"/>
                <w:szCs w:val="24"/>
                <w:lang w:val="en-US" w:eastAsia="zh-CN"/>
              </w:rPr>
            </w:pPr>
            <w:r>
              <w:rPr>
                <w:rFonts w:hint="eastAsia"/>
                <w:sz w:val="24"/>
                <w:szCs w:val="24"/>
                <w:lang w:val="en-US" w:eastAsia="zh-CN"/>
              </w:rPr>
              <w:t>1、为业务经理提供技术支持。</w:t>
            </w:r>
          </w:p>
          <w:p>
            <w:pPr>
              <w:rPr>
                <w:rFonts w:hint="eastAsia"/>
                <w:sz w:val="24"/>
                <w:szCs w:val="24"/>
                <w:lang w:val="en-US" w:eastAsia="zh-CN"/>
              </w:rPr>
            </w:pPr>
            <w:r>
              <w:rPr>
                <w:rFonts w:hint="eastAsia"/>
                <w:sz w:val="24"/>
                <w:szCs w:val="24"/>
                <w:lang w:val="en-US" w:eastAsia="zh-CN"/>
              </w:rPr>
              <w:t>2、为生产部提供技术支持。</w:t>
            </w:r>
          </w:p>
          <w:p>
            <w:pPr>
              <w:rPr>
                <w:rFonts w:hint="eastAsia"/>
                <w:sz w:val="24"/>
                <w:szCs w:val="24"/>
                <w:lang w:val="en-US" w:eastAsia="zh-CN"/>
              </w:rPr>
            </w:pPr>
            <w:r>
              <w:rPr>
                <w:rFonts w:hint="eastAsia"/>
                <w:sz w:val="24"/>
                <w:szCs w:val="24"/>
                <w:lang w:val="en-US" w:eastAsia="zh-CN"/>
              </w:rPr>
              <w:t>3、为安装售后部提供技术支持。</w:t>
            </w:r>
          </w:p>
          <w:p>
            <w:pPr>
              <w:rPr>
                <w:rFonts w:hint="eastAsia"/>
                <w:sz w:val="24"/>
                <w:szCs w:val="24"/>
                <w:lang w:val="en-US" w:eastAsia="zh-CN"/>
              </w:rPr>
            </w:pPr>
            <w:r>
              <w:rPr>
                <w:rFonts w:hint="eastAsia"/>
                <w:sz w:val="24"/>
                <w:szCs w:val="24"/>
                <w:lang w:val="en-US" w:eastAsia="zh-CN"/>
              </w:rPr>
              <w:t>四、与其他部门相关的职责和权力</w:t>
            </w:r>
          </w:p>
          <w:p>
            <w:pPr>
              <w:rPr>
                <w:rFonts w:hint="eastAsia"/>
                <w:sz w:val="24"/>
                <w:szCs w:val="24"/>
                <w:lang w:val="en-US" w:eastAsia="zh-CN"/>
              </w:rPr>
            </w:pPr>
            <w:r>
              <w:rPr>
                <w:rFonts w:hint="eastAsia"/>
                <w:sz w:val="24"/>
                <w:szCs w:val="24"/>
                <w:lang w:val="en-US" w:eastAsia="zh-CN"/>
              </w:rPr>
              <w:t>1、配合采购部做好材料的选型和标准的确定，材料变更时通知采购部，请采购部及时反馈技术方面的问题。</w:t>
            </w:r>
          </w:p>
          <w:p>
            <w:pPr>
              <w:rPr>
                <w:rFonts w:hint="default"/>
                <w:sz w:val="24"/>
                <w:szCs w:val="24"/>
                <w:lang w:val="en-US" w:eastAsia="zh-CN"/>
              </w:rPr>
            </w:pPr>
            <w:r>
              <w:rPr>
                <w:rFonts w:hint="eastAsia"/>
                <w:sz w:val="24"/>
                <w:szCs w:val="24"/>
                <w:lang w:val="en-US" w:eastAsia="zh-CN"/>
              </w:rPr>
              <w:t>2、配合销售部完成客户特殊的订货需求；请销售部及时提供销售通知单，说明特殊部件的要求。</w:t>
            </w:r>
          </w:p>
        </w:tc>
        <w:tc>
          <w:tcPr>
            <w:tcW w:w="737" w:type="dxa"/>
          </w:tcPr>
          <w:p>
            <w:pPr>
              <w:rPr>
                <w:rFonts w:hint="eastAsia"/>
                <w:sz w:val="24"/>
                <w:szCs w:val="24"/>
              </w:rPr>
            </w:pPr>
          </w:p>
          <w:p>
            <w:pPr>
              <w:rPr>
                <w:rFonts w:hint="eastAsia"/>
                <w:sz w:val="24"/>
                <w:szCs w:val="24"/>
              </w:rPr>
            </w:pPr>
          </w:p>
          <w:p>
            <w:pPr>
              <w:rPr>
                <w:rFonts w:hint="eastAsia"/>
                <w:sz w:val="24"/>
                <w:szCs w:val="24"/>
              </w:rPr>
            </w:pPr>
          </w:p>
          <w:p>
            <w:pPr>
              <w:ind w:firstLine="240" w:firstLineChars="100"/>
              <w:rPr>
                <w:rFonts w:hint="eastAsia"/>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rPr>
                <w:rFonts w:hint="default"/>
                <w:sz w:val="24"/>
                <w:szCs w:val="24"/>
                <w:lang w:val="en-US" w:eastAsia="zh-CN"/>
              </w:rPr>
            </w:pPr>
            <w:r>
              <w:rPr>
                <w:rFonts w:hint="eastAsia"/>
                <w:sz w:val="24"/>
                <w:szCs w:val="24"/>
                <w:lang w:val="en-US" w:eastAsia="zh-CN"/>
              </w:rPr>
              <w:t>能源目标\</w:t>
            </w:r>
            <w:r>
              <w:rPr>
                <w:rFonts w:hint="eastAsia"/>
                <w:sz w:val="24"/>
                <w:szCs w:val="24"/>
              </w:rPr>
              <w:t>能源指及其实现的策划</w:t>
            </w:r>
          </w:p>
        </w:tc>
        <w:tc>
          <w:tcPr>
            <w:tcW w:w="960" w:type="dxa"/>
          </w:tcPr>
          <w:p>
            <w:pPr>
              <w:rPr>
                <w:rFonts w:hint="default"/>
                <w:sz w:val="24"/>
                <w:szCs w:val="24"/>
                <w:lang w:val="en-US" w:eastAsia="zh-CN"/>
              </w:rPr>
            </w:pPr>
            <w:r>
              <w:rPr>
                <w:rFonts w:hint="eastAsia"/>
                <w:sz w:val="24"/>
                <w:szCs w:val="24"/>
                <w:lang w:val="en-US" w:eastAsia="zh-CN"/>
              </w:rPr>
              <w:t>En6.2</w:t>
            </w:r>
          </w:p>
        </w:tc>
        <w:tc>
          <w:tcPr>
            <w:tcW w:w="10852" w:type="dxa"/>
            <w:gridSpan w:val="2"/>
          </w:tcPr>
          <w:p>
            <w:pP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目标完成情况：</w:t>
            </w:r>
            <w:r>
              <w:rPr>
                <w:rFonts w:hint="eastAsia" w:ascii="Times New Roman" w:hAnsi="Times New Roman" w:eastAsia="宋体" w:cs="Times New Roman"/>
                <w:kern w:val="2"/>
                <w:sz w:val="24"/>
                <w:szCs w:val="24"/>
                <w:lang w:val="en-US" w:eastAsia="zh-CN" w:bidi="ar-SA"/>
              </w:rPr>
              <w:t>202</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年</w:t>
            </w:r>
            <w:r>
              <w:rPr>
                <w:rFonts w:hint="eastAsia" w:cs="Times New Roman"/>
                <w:kern w:val="2"/>
                <w:sz w:val="24"/>
                <w:szCs w:val="24"/>
                <w:lang w:val="en-US" w:eastAsia="zh-CN" w:bidi="ar-SA"/>
              </w:rPr>
              <w:t>11月份</w:t>
            </w:r>
            <w:r>
              <w:rPr>
                <w:rFonts w:hint="eastAsia" w:ascii="Times New Roman" w:hAnsi="Times New Roman" w:eastAsia="宋体" w:cs="Times New Roman"/>
                <w:kern w:val="2"/>
                <w:sz w:val="24"/>
                <w:szCs w:val="24"/>
                <w:lang w:val="en-US" w:eastAsia="zh-CN" w:bidi="ar-SA"/>
              </w:rPr>
              <w:t>能源目标≦</w:t>
            </w:r>
            <w:r>
              <w:rPr>
                <w:rFonts w:hint="eastAsia"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99kwh/㎡</w:t>
            </w:r>
            <w:r>
              <w:rPr>
                <w:rFonts w:hint="eastAsia" w:ascii="Times New Roman" w:hAnsi="Times New Roman" w:eastAsia="宋体" w:cs="Times New Roman"/>
                <w:kern w:val="2"/>
                <w:sz w:val="24"/>
                <w:szCs w:val="24"/>
                <w:lang w:val="en-US" w:eastAsia="zh-CN" w:bidi="ar-SA"/>
              </w:rPr>
              <w:t>；实际完成</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09kwh/㎡</w:t>
            </w:r>
            <w:r>
              <w:rPr>
                <w:rFonts w:hint="eastAsia" w:ascii="Times New Roman" w:hAnsi="Times New Roman" w:eastAsia="宋体" w:cs="Times New Roman"/>
                <w:kern w:val="2"/>
                <w:sz w:val="24"/>
                <w:szCs w:val="24"/>
                <w:lang w:val="en-US" w:eastAsia="zh-CN" w:bidi="ar-SA"/>
              </w:rPr>
              <w:t>。</w:t>
            </w:r>
          </w:p>
          <w:p>
            <w:pPr>
              <w:pStyle w:val="10"/>
              <w:ind w:left="0" w:leftChars="0" w:firstLine="0" w:firstLineChars="0"/>
              <w:rPr>
                <w:rFonts w:hint="default"/>
                <w:sz w:val="24"/>
                <w:szCs w:val="24"/>
                <w:lang w:val="en-US" w:eastAsia="zh-CN"/>
              </w:rPr>
            </w:pPr>
            <w:r>
              <w:rPr>
                <w:rFonts w:hint="eastAsia" w:ascii="Times New Roman" w:hAnsi="Times New Roman" w:eastAsia="宋体" w:cs="Times New Roman"/>
                <w:kern w:val="2"/>
                <w:sz w:val="24"/>
                <w:szCs w:val="24"/>
                <w:lang w:val="en-US" w:eastAsia="zh-CN" w:bidi="ar-SA"/>
              </w:rPr>
              <w:t>完成目标。</w:t>
            </w:r>
          </w:p>
        </w:tc>
        <w:tc>
          <w:tcPr>
            <w:tcW w:w="737" w:type="dxa"/>
            <w:vAlign w:val="top"/>
          </w:tcPr>
          <w:p>
            <w:pPr>
              <w:rPr>
                <w:rFonts w:hint="eastAsia"/>
                <w:sz w:val="24"/>
                <w:szCs w:val="24"/>
              </w:rPr>
            </w:pPr>
          </w:p>
          <w:p>
            <w:pPr>
              <w:ind w:firstLine="240" w:firstLineChars="100"/>
              <w:rPr>
                <w:rFonts w:hint="eastAsia"/>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160" w:type="dxa"/>
          </w:tcPr>
          <w:p>
            <w:pPr>
              <w:rPr>
                <w:rFonts w:hint="default"/>
                <w:sz w:val="24"/>
                <w:szCs w:val="24"/>
                <w:lang w:val="en-US" w:eastAsia="zh-CN"/>
              </w:rPr>
            </w:pPr>
            <w:r>
              <w:rPr>
                <w:rFonts w:hint="eastAsia"/>
                <w:sz w:val="24"/>
                <w:szCs w:val="24"/>
                <w:lang w:val="en-US" w:eastAsia="zh-CN"/>
              </w:rPr>
              <w:t>设计</w:t>
            </w:r>
          </w:p>
        </w:tc>
        <w:tc>
          <w:tcPr>
            <w:tcW w:w="960" w:type="dxa"/>
          </w:tcPr>
          <w:p>
            <w:pPr>
              <w:rPr>
                <w:rFonts w:hint="eastAsia"/>
                <w:sz w:val="24"/>
                <w:szCs w:val="24"/>
                <w:lang w:val="en-US" w:eastAsia="zh-CN"/>
              </w:rPr>
            </w:pPr>
            <w:r>
              <w:rPr>
                <w:rFonts w:hint="eastAsia"/>
                <w:sz w:val="24"/>
                <w:szCs w:val="24"/>
                <w:lang w:val="en-US" w:eastAsia="zh-CN"/>
              </w:rPr>
              <w:t>En8.2</w:t>
            </w:r>
          </w:p>
        </w:tc>
        <w:tc>
          <w:tcPr>
            <w:tcW w:w="10852" w:type="dxa"/>
            <w:gridSpan w:val="2"/>
          </w:tcPr>
          <w:p>
            <w:pPr>
              <w:rPr>
                <w:rFonts w:hint="eastAsia"/>
                <w:lang w:val="en-US" w:eastAsia="zh-CN"/>
              </w:rPr>
            </w:pPr>
            <w:r>
              <w:rPr>
                <w:rFonts w:hint="eastAsia"/>
                <w:lang w:val="en-US" w:eastAsia="zh-CN"/>
              </w:rPr>
              <w:t>制定并执行《设计控制程序》，考虑能源性能改进机会和在设计新的、改进的和翻新的设施、设备、系统和能源使用过程时的操作控制，这些过程在计划或预期的使用寿命内可能对其能源性能产生重大影响。</w:t>
            </w:r>
          </w:p>
          <w:p>
            <w:pPr>
              <w:rPr>
                <w:rFonts w:hint="eastAsia"/>
                <w:lang w:val="en-US" w:eastAsia="zh-CN"/>
              </w:rPr>
            </w:pPr>
            <w:r>
              <w:rPr>
                <w:rFonts w:hint="eastAsia"/>
                <w:lang w:val="en-US" w:eastAsia="zh-CN"/>
              </w:rPr>
              <w:t>在适用的情况下，能源性能考虑的结果应纳入规范、设计和采购活动。</w:t>
            </w:r>
          </w:p>
          <w:p>
            <w:pPr>
              <w:rPr>
                <w:rFonts w:hint="eastAsia"/>
                <w:lang w:val="en-US" w:eastAsia="zh-CN"/>
              </w:rPr>
            </w:pPr>
            <w:r>
              <w:rPr>
                <w:rFonts w:hint="eastAsia"/>
                <w:lang w:val="en-US" w:eastAsia="zh-CN"/>
              </w:rPr>
              <w:t>当有设计发生时，公司保留与能源性能相关的设计活动的文档化信息。</w:t>
            </w:r>
          </w:p>
          <w:p>
            <w:pPr>
              <w:rPr>
                <w:rFonts w:hint="eastAsia"/>
                <w:lang w:val="en-US" w:eastAsia="zh-CN"/>
              </w:rPr>
            </w:pPr>
            <w:r>
              <w:rPr>
                <w:rFonts w:hint="eastAsia"/>
                <w:lang w:val="en-US" w:eastAsia="zh-CN"/>
              </w:rPr>
              <w:t>经现场检查，公司的设计主要是产品上的设计，能源方面的主要节电设备的购买。</w:t>
            </w:r>
          </w:p>
          <w:p>
            <w:pPr>
              <w:rPr>
                <w:rFonts w:hint="default"/>
                <w:lang w:val="en-US" w:eastAsia="zh-CN"/>
              </w:rPr>
            </w:pPr>
            <w:r>
              <w:rPr>
                <w:rFonts w:hint="eastAsia"/>
                <w:color w:val="0000FF"/>
                <w:lang w:val="en-US" w:eastAsia="zh-CN"/>
              </w:rPr>
              <w:t>设计中需要考虑的产品使用时的节能因素：耗电量等。</w:t>
            </w:r>
          </w:p>
        </w:tc>
        <w:tc>
          <w:tcPr>
            <w:tcW w:w="737" w:type="dxa"/>
          </w:tcPr>
          <w:p>
            <w:pPr>
              <w:rPr>
                <w:rFonts w:hint="eastAsia"/>
                <w:lang w:val="en-US" w:eastAsia="zh-CN"/>
              </w:rPr>
            </w:pPr>
          </w:p>
          <w:p>
            <w:pPr>
              <w:pStyle w:val="10"/>
              <w:ind w:left="0" w:leftChars="0" w:firstLine="0" w:firstLineChars="0"/>
              <w:rPr>
                <w:rFonts w:hint="eastAsia"/>
                <w:lang w:val="en-US" w:eastAsia="zh-CN"/>
              </w:rPr>
            </w:pPr>
          </w:p>
          <w:p>
            <w:pPr>
              <w:pStyle w:val="14"/>
              <w:rPr>
                <w:rFonts w:hint="default"/>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4"/>
                <w:szCs w:val="24"/>
                <w:lang w:val="en-US" w:eastAsia="zh-CN"/>
              </w:rPr>
            </w:pPr>
            <w:r>
              <w:rPr>
                <w:rFonts w:hint="eastAsia"/>
                <w:sz w:val="24"/>
                <w:szCs w:val="24"/>
                <w:lang w:val="en-US" w:eastAsia="zh-CN"/>
              </w:rPr>
              <w:t>能源绩效和能源管理体系的监视、测量、分析和评价 、</w:t>
            </w:r>
          </w:p>
        </w:tc>
        <w:tc>
          <w:tcPr>
            <w:tcW w:w="960" w:type="dxa"/>
          </w:tcPr>
          <w:p>
            <w:pPr>
              <w:rPr>
                <w:rFonts w:hint="default"/>
                <w:sz w:val="24"/>
                <w:szCs w:val="24"/>
                <w:lang w:val="en-US" w:eastAsia="zh-CN"/>
              </w:rPr>
            </w:pPr>
            <w:r>
              <w:rPr>
                <w:rFonts w:hint="eastAsia"/>
                <w:sz w:val="24"/>
                <w:szCs w:val="24"/>
                <w:lang w:val="en-US" w:eastAsia="zh-CN"/>
              </w:rPr>
              <w:t>En9.1.1</w:t>
            </w:r>
          </w:p>
        </w:tc>
        <w:tc>
          <w:tcPr>
            <w:tcW w:w="10852" w:type="dxa"/>
            <w:gridSpan w:val="2"/>
          </w:tcPr>
          <w:p>
            <w:pPr>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抽查能源统计分析情况：</w:t>
            </w:r>
          </w:p>
          <w:p>
            <w:pPr>
              <w:rPr>
                <w:rFonts w:hint="eastAsia" w:ascii="宋体" w:hAnsi="宋体" w:eastAsia="宋体" w:cs="Times New Roman"/>
                <w:b w:val="0"/>
                <w:bCs w:val="0"/>
                <w:color w:val="0000FF"/>
                <w:kern w:val="2"/>
                <w:sz w:val="21"/>
                <w:szCs w:val="21"/>
                <w:lang w:val="en-US" w:eastAsia="zh-CN" w:bidi="ar-SA"/>
              </w:rPr>
            </w:pPr>
            <w:r>
              <w:rPr>
                <w:rFonts w:hint="eastAsia" w:ascii="宋体" w:hAnsi="宋体" w:eastAsia="宋体" w:cs="Times New Roman"/>
                <w:b w:val="0"/>
                <w:bCs w:val="0"/>
                <w:color w:val="0000FF"/>
                <w:kern w:val="2"/>
                <w:sz w:val="21"/>
                <w:szCs w:val="21"/>
                <w:lang w:val="en-US" w:eastAsia="zh-CN" w:bidi="ar-SA"/>
              </w:rPr>
              <w:t>从2021年</w:t>
            </w:r>
            <w:r>
              <w:rPr>
                <w:rFonts w:hint="eastAsia" w:ascii="宋体" w:hAnsi="宋体" w:cs="Times New Roman"/>
                <w:b w:val="0"/>
                <w:bCs w:val="0"/>
                <w:color w:val="0000FF"/>
                <w:kern w:val="2"/>
                <w:sz w:val="21"/>
                <w:szCs w:val="21"/>
                <w:lang w:val="en-US" w:eastAsia="zh-CN" w:bidi="ar-SA"/>
              </w:rPr>
              <w:t>5</w:t>
            </w:r>
            <w:r>
              <w:rPr>
                <w:rFonts w:hint="eastAsia" w:ascii="宋体" w:hAnsi="宋体" w:eastAsia="宋体" w:cs="Times New Roman"/>
                <w:b w:val="0"/>
                <w:bCs w:val="0"/>
                <w:color w:val="0000FF"/>
                <w:kern w:val="2"/>
                <w:sz w:val="21"/>
                <w:szCs w:val="21"/>
                <w:lang w:val="en-US" w:eastAsia="zh-CN" w:bidi="ar-SA"/>
              </w:rPr>
              <w:t>-</w:t>
            </w:r>
            <w:r>
              <w:rPr>
                <w:rFonts w:hint="eastAsia" w:ascii="宋体" w:hAnsi="宋体" w:cs="Times New Roman"/>
                <w:b w:val="0"/>
                <w:bCs w:val="0"/>
                <w:color w:val="0000FF"/>
                <w:kern w:val="2"/>
                <w:sz w:val="21"/>
                <w:szCs w:val="21"/>
                <w:lang w:val="en-US" w:eastAsia="zh-CN" w:bidi="ar-SA"/>
              </w:rPr>
              <w:t>10</w:t>
            </w:r>
            <w:r>
              <w:rPr>
                <w:rFonts w:hint="eastAsia" w:ascii="宋体" w:hAnsi="宋体" w:eastAsia="宋体" w:cs="Times New Roman"/>
                <w:b w:val="0"/>
                <w:bCs w:val="0"/>
                <w:color w:val="0000FF"/>
                <w:kern w:val="2"/>
                <w:sz w:val="21"/>
                <w:szCs w:val="21"/>
                <w:lang w:val="en-US" w:eastAsia="zh-CN" w:bidi="ar-SA"/>
              </w:rPr>
              <w:t>月份的各种能源能耗统计来看，企业的单位产品能耗呈</w:t>
            </w:r>
            <w:r>
              <w:rPr>
                <w:rFonts w:hint="eastAsia" w:ascii="宋体" w:hAnsi="宋体" w:cs="Times New Roman"/>
                <w:b w:val="0"/>
                <w:bCs w:val="0"/>
                <w:color w:val="0000FF"/>
                <w:kern w:val="2"/>
                <w:sz w:val="21"/>
                <w:szCs w:val="21"/>
                <w:lang w:val="en-US" w:eastAsia="zh-CN" w:bidi="ar-SA"/>
              </w:rPr>
              <w:t>波浪形状，主要是因为夏季和冬季用空调使能耗升高，春秋时在不用空调时能耗降低</w:t>
            </w:r>
            <w:r>
              <w:rPr>
                <w:rFonts w:hint="eastAsia" w:ascii="宋体" w:hAnsi="宋体" w:eastAsia="宋体" w:cs="Times New Roman"/>
                <w:b w:val="0"/>
                <w:bCs w:val="0"/>
                <w:color w:val="0000FF"/>
                <w:kern w:val="2"/>
                <w:sz w:val="21"/>
                <w:szCs w:val="21"/>
                <w:lang w:val="en-US" w:eastAsia="zh-CN" w:bidi="ar-SA"/>
              </w:rPr>
              <w:t>。</w:t>
            </w:r>
          </w:p>
          <w:p>
            <w:pPr>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color w:val="0000FF"/>
                <w:kern w:val="2"/>
                <w:sz w:val="21"/>
                <w:szCs w:val="21"/>
                <w:lang w:val="en-US" w:eastAsia="zh-CN" w:bidi="ar-SA"/>
              </w:rPr>
              <w:t>因此，企业应</w:t>
            </w:r>
            <w:r>
              <w:rPr>
                <w:rFonts w:hint="eastAsia" w:ascii="宋体" w:hAnsi="宋体" w:cs="Times New Roman"/>
                <w:b w:val="0"/>
                <w:bCs w:val="0"/>
                <w:color w:val="0000FF"/>
                <w:kern w:val="2"/>
                <w:sz w:val="21"/>
                <w:szCs w:val="21"/>
                <w:lang w:val="en-US" w:eastAsia="zh-CN" w:bidi="ar-SA"/>
              </w:rPr>
              <w:t>做好冬夏季节用空调时的能耗控制</w:t>
            </w:r>
            <w:r>
              <w:rPr>
                <w:rFonts w:hint="eastAsia" w:ascii="宋体" w:hAnsi="宋体" w:eastAsia="宋体" w:cs="Times New Roman"/>
                <w:b w:val="0"/>
                <w:bCs w:val="0"/>
                <w:color w:val="0000FF"/>
                <w:kern w:val="2"/>
                <w:sz w:val="21"/>
                <w:szCs w:val="21"/>
                <w:lang w:val="en-US" w:eastAsia="zh-CN" w:bidi="ar-SA"/>
              </w:rPr>
              <w:t>。</w:t>
            </w:r>
          </w:p>
        </w:tc>
        <w:tc>
          <w:tcPr>
            <w:tcW w:w="737"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hint="default"/>
                <w:sz w:val="24"/>
                <w:szCs w:val="24"/>
                <w:lang w:val="en-US" w:eastAsia="zh-CN"/>
              </w:rPr>
            </w:pPr>
            <w:r>
              <w:rPr>
                <w:rFonts w:hint="eastAsia"/>
                <w:sz w:val="24"/>
                <w:szCs w:val="24"/>
                <w:lang w:val="en-US" w:eastAsia="zh-CN"/>
              </w:rPr>
              <w:t>不符合及纠正措施</w:t>
            </w:r>
          </w:p>
        </w:tc>
        <w:tc>
          <w:tcPr>
            <w:tcW w:w="960" w:type="dxa"/>
          </w:tcPr>
          <w:p>
            <w:pPr>
              <w:rPr>
                <w:rFonts w:hint="eastAsia"/>
                <w:sz w:val="24"/>
                <w:szCs w:val="24"/>
                <w:lang w:val="en-US" w:eastAsia="zh-CN"/>
              </w:rPr>
            </w:pPr>
            <w:r>
              <w:rPr>
                <w:rFonts w:hint="eastAsia"/>
                <w:sz w:val="24"/>
                <w:szCs w:val="24"/>
                <w:lang w:val="en-US" w:eastAsia="zh-CN"/>
              </w:rPr>
              <w:t>En10.1</w:t>
            </w:r>
          </w:p>
          <w:p>
            <w:pPr>
              <w:rPr>
                <w:rFonts w:hint="default"/>
                <w:sz w:val="24"/>
                <w:szCs w:val="24"/>
                <w:lang w:val="en-US" w:eastAsia="zh-CN"/>
              </w:rPr>
            </w:pPr>
          </w:p>
        </w:tc>
        <w:tc>
          <w:tcPr>
            <w:tcW w:w="10852" w:type="dxa"/>
            <w:gridSpan w:val="2"/>
          </w:tcPr>
          <w:p>
            <w:pPr>
              <w:rPr>
                <w:rFonts w:hint="eastAsia"/>
                <w:lang w:val="en-US" w:eastAsia="zh-CN"/>
              </w:rPr>
            </w:pPr>
            <w:r>
              <w:rPr>
                <w:rFonts w:hint="eastAsia"/>
                <w:lang w:val="en-US" w:eastAsia="zh-CN"/>
              </w:rPr>
              <w:t>提供《不符合、纠正、改进措施程序》公司规定了为了及时纠正在能源管理体系运行中发现的不符合，采取有效的纠正措施与预防措施，减少对生产经营活动的影响，避免不符合的再次发生。</w:t>
            </w:r>
          </w:p>
          <w:p>
            <w:pPr>
              <w:rPr>
                <w:rFonts w:hint="default"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公司能够对日常检查发现的不符合进行纠正，对每月的目标考核、内部审核和管理评审中不符合项进行纠正并制定纠正措施。</w:t>
            </w:r>
          </w:p>
        </w:tc>
        <w:tc>
          <w:tcPr>
            <w:tcW w:w="737" w:type="dxa"/>
          </w:tcPr>
          <w:p>
            <w:pPr>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60" w:type="dxa"/>
          </w:tcPr>
          <w:p>
            <w:pPr>
              <w:rPr>
                <w:rFonts w:hint="eastAsia"/>
                <w:sz w:val="24"/>
                <w:szCs w:val="24"/>
                <w:lang w:val="en-US" w:eastAsia="zh-CN"/>
              </w:rPr>
            </w:pPr>
            <w:r>
              <w:rPr>
                <w:rFonts w:hint="eastAsia"/>
                <w:sz w:val="24"/>
                <w:szCs w:val="24"/>
                <w:lang w:val="en-US" w:eastAsia="zh-CN"/>
              </w:rPr>
              <w:t>持续改进</w:t>
            </w:r>
          </w:p>
        </w:tc>
        <w:tc>
          <w:tcPr>
            <w:tcW w:w="960" w:type="dxa"/>
          </w:tcPr>
          <w:p>
            <w:pPr>
              <w:rPr>
                <w:rFonts w:hint="default"/>
                <w:sz w:val="24"/>
                <w:szCs w:val="24"/>
                <w:lang w:val="en-US" w:eastAsia="zh-CN"/>
              </w:rPr>
            </w:pPr>
            <w:r>
              <w:rPr>
                <w:rFonts w:hint="eastAsia"/>
                <w:sz w:val="24"/>
                <w:szCs w:val="24"/>
                <w:lang w:val="en-US" w:eastAsia="zh-CN"/>
              </w:rPr>
              <w:t>En10.2</w:t>
            </w:r>
          </w:p>
        </w:tc>
        <w:tc>
          <w:tcPr>
            <w:tcW w:w="10852" w:type="dxa"/>
            <w:gridSpan w:val="2"/>
          </w:tcPr>
          <w:p>
            <w:pPr>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每月的能源目标考核、每年度的内部审核和管理评审，进行持续改进工作。</w:t>
            </w:r>
          </w:p>
        </w:tc>
        <w:tc>
          <w:tcPr>
            <w:tcW w:w="737" w:type="dxa"/>
          </w:tcPr>
          <w:p>
            <w:pPr>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3"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eastAsia="zh-CN"/>
              </w:rPr>
              <w:t>：</w:t>
            </w:r>
            <w:r>
              <w:rPr>
                <w:rFonts w:hint="eastAsia" w:ascii="宋体" w:hAnsi="宋体" w:cs="宋体"/>
                <w:sz w:val="24"/>
                <w:szCs w:val="24"/>
                <w:lang w:val="en-US" w:eastAsia="zh-CN"/>
              </w:rPr>
              <w:t>市场部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主管领导：</w:t>
            </w:r>
            <w:r>
              <w:rPr>
                <w:rFonts w:hint="eastAsia" w:ascii="宋体" w:hAnsi="宋体" w:cs="宋体"/>
                <w:sz w:val="24"/>
                <w:szCs w:val="24"/>
                <w:lang w:val="en-US" w:eastAsia="zh-CN"/>
              </w:rPr>
              <w:t xml:space="preserve">周翔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陪同人员：</w:t>
            </w:r>
            <w:r>
              <w:rPr>
                <w:rFonts w:hint="eastAsia" w:ascii="宋体" w:hAnsi="宋体" w:cs="宋体"/>
                <w:sz w:val="24"/>
                <w:szCs w:val="24"/>
                <w:lang w:val="en-US" w:eastAsia="zh-CN"/>
              </w:rPr>
              <w:t>龚莉</w:t>
            </w:r>
          </w:p>
        </w:tc>
        <w:tc>
          <w:tcPr>
            <w:tcW w:w="756"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3"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cs="宋体"/>
                <w:sz w:val="24"/>
                <w:szCs w:val="24"/>
                <w:lang w:val="en-US" w:eastAsia="zh-CN"/>
              </w:rPr>
              <w:t>周涛、李俊强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审核时间：</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12.22</w:t>
            </w:r>
          </w:p>
        </w:tc>
        <w:tc>
          <w:tcPr>
            <w:tcW w:w="756"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3" w:type="dxa"/>
            <w:vAlign w:val="center"/>
          </w:tcPr>
          <w:p>
            <w:pPr>
              <w:snapToGrid w:val="0"/>
              <w:spacing w:line="320" w:lineRule="exact"/>
              <w:ind w:left="180" w:hanging="240" w:hangingChars="100"/>
              <w:jc w:val="left"/>
              <w:rPr>
                <w:sz w:val="24"/>
                <w:szCs w:val="24"/>
              </w:rPr>
            </w:pPr>
            <w:r>
              <w:rPr>
                <w:rFonts w:hint="eastAsia"/>
                <w:sz w:val="24"/>
                <w:szCs w:val="24"/>
              </w:rPr>
              <w:t>审核条款</w:t>
            </w:r>
            <w:r>
              <w:rPr>
                <w:rFonts w:hint="eastAsia" w:ascii="宋体" w:hAnsi="宋体" w:eastAsia="宋体" w:cs="宋体"/>
                <w:sz w:val="24"/>
                <w:szCs w:val="24"/>
              </w:rPr>
              <w:t>：</w:t>
            </w:r>
            <w:r>
              <w:rPr>
                <w:rFonts w:hint="eastAsia" w:asciiTheme="minorEastAsia" w:hAnsiTheme="minorEastAsia" w:eastAsiaTheme="minorEastAsia" w:cstheme="minorEastAsia"/>
                <w:b/>
                <w:bCs/>
                <w:color w:val="auto"/>
                <w:sz w:val="18"/>
                <w:szCs w:val="18"/>
                <w:u w:val="none"/>
                <w:lang w:val="en-US" w:eastAsia="zh-CN"/>
              </w:rPr>
              <w:t>En</w:t>
            </w:r>
            <w:r>
              <w:rPr>
                <w:rFonts w:hint="eastAsia" w:asciiTheme="minorEastAsia" w:hAnsiTheme="minorEastAsia" w:eastAsiaTheme="minorEastAsia" w:cstheme="minorEastAsia"/>
                <w:b w:val="0"/>
                <w:bCs w:val="0"/>
                <w:color w:val="auto"/>
                <w:sz w:val="18"/>
                <w:szCs w:val="18"/>
                <w:u w:val="none"/>
                <w:lang w:val="en-US" w:eastAsia="zh-CN"/>
              </w:rPr>
              <w:t xml:space="preserve">:5.3/6.2/7.4/8.1/8.3/10.1  </w:t>
            </w:r>
          </w:p>
        </w:tc>
        <w:tc>
          <w:tcPr>
            <w:tcW w:w="756"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jc w:val="lef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5.3 </w:t>
            </w:r>
          </w:p>
          <w:p>
            <w:pPr>
              <w:jc w:val="left"/>
              <w:rPr>
                <w:rFonts w:hint="eastAsia" w:ascii="宋体" w:hAnsi="宋体" w:eastAsia="宋体" w:cs="宋体"/>
                <w:sz w:val="24"/>
                <w:szCs w:val="22"/>
                <w:lang w:val="en-US" w:eastAsia="zh-CN"/>
              </w:rPr>
            </w:pPr>
          </w:p>
        </w:tc>
        <w:tc>
          <w:tcPr>
            <w:tcW w:w="10833" w:type="dxa"/>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市场部职责：</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1.全面负责市场部的管理工作。</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2.负责市场部计划、规章制度的制订与实施。</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3.负责市场投资方向的设定。</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4.负责市场质量战略的制定。</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5.对违背国家的方针、政策、法令、规定以及职代会决议负责。</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6.对由于决策失误，领导不力，造成完不成市场和技改计划或经济效益下降负责。</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7.对未能达到任期目标和年度方针目标负责。</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8.对领导班子不团结，工作不深入，作风不正派，造成工厂纪律松弛，管理混乱，厂风不正负责。</w:t>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9.对事前未作充分调查和可行性分析而草率签署技术经济合同或协议，给工厂造成重大经济损失负责。</w:t>
            </w:r>
          </w:p>
        </w:tc>
        <w:tc>
          <w:tcPr>
            <w:tcW w:w="756" w:type="dxa"/>
            <w:gridSpan w:val="2"/>
            <w:vAlign w:val="top"/>
          </w:tcPr>
          <w:p/>
          <w:p>
            <w:pPr>
              <w:pStyle w:val="10"/>
            </w:pPr>
          </w:p>
          <w:p>
            <w:pPr>
              <w:pStyle w:val="1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0"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w:t>
            </w:r>
          </w:p>
          <w:p>
            <w:pPr>
              <w:pStyle w:val="2"/>
            </w:pPr>
          </w:p>
        </w:tc>
        <w:tc>
          <w:tcPr>
            <w:tcW w:w="9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6.2</w:t>
            </w:r>
          </w:p>
          <w:p>
            <w:pPr>
              <w:rPr>
                <w:rFonts w:hint="eastAsia" w:ascii="宋体" w:hAnsi="宋体" w:eastAsia="宋体" w:cs="宋体"/>
                <w:sz w:val="24"/>
                <w:szCs w:val="24"/>
              </w:rPr>
            </w:pPr>
          </w:p>
        </w:tc>
        <w:tc>
          <w:tcPr>
            <w:tcW w:w="10833"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执行《管理手册》及《方针目标管理制度》</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编制了文件化的《目标、能源指标及管理方案》；</w:t>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本部门执行公司的能源总目标；</w:t>
            </w:r>
            <w:r>
              <w:rPr>
                <w:rFonts w:hint="eastAsia" w:ascii="宋体" w:hAnsi="宋体" w:cs="宋体"/>
                <w:color w:val="auto"/>
                <w:sz w:val="24"/>
                <w:szCs w:val="24"/>
                <w:lang w:val="en-US" w:eastAsia="zh-CN"/>
              </w:rPr>
              <w:t>每月电耗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3.99kwh/㎡。</w:t>
            </w:r>
          </w:p>
          <w:p>
            <w:pP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日常办公注意节水节电、节约汽油及其他办公耗材的消耗、避免不必要的浪费；</w:t>
            </w:r>
          </w:p>
        </w:tc>
        <w:tc>
          <w:tcPr>
            <w:tcW w:w="756" w:type="dxa"/>
            <w:gridSpan w:val="2"/>
          </w:tcPr>
          <w:p/>
          <w:p>
            <w:pPr>
              <w:pStyle w:val="1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沟通</w:t>
            </w:r>
          </w:p>
          <w:p>
            <w:pPr>
              <w:rPr>
                <w:rFonts w:hint="eastAsia" w:ascii="宋体" w:hAnsi="宋体" w:eastAsia="宋体" w:cs="宋体"/>
                <w:sz w:val="24"/>
                <w:szCs w:val="24"/>
                <w:lang w:val="en-US" w:eastAsia="zh-CN"/>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p>
            <w:pPr>
              <w:rPr>
                <w:rFonts w:hint="eastAsia" w:ascii="宋体" w:hAnsi="宋体" w:eastAsia="宋体" w:cs="宋体"/>
                <w:sz w:val="24"/>
                <w:szCs w:val="24"/>
                <w:lang w:val="en-US" w:eastAsia="zh-CN"/>
              </w:rPr>
            </w:pPr>
          </w:p>
        </w:tc>
        <w:tc>
          <w:tcPr>
            <w:tcW w:w="10833" w:type="dxa"/>
            <w:vAlign w:val="top"/>
          </w:tcPr>
          <w:p>
            <w:pPr>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市场部</w:t>
            </w:r>
            <w:r>
              <w:rPr>
                <w:rFonts w:hint="eastAsia" w:ascii="宋体" w:hAnsi="宋体" w:eastAsia="宋体" w:cs="宋体"/>
                <w:color w:val="auto"/>
                <w:sz w:val="24"/>
                <w:szCs w:val="24"/>
                <w:lang w:val="en-US" w:eastAsia="zh-CN"/>
              </w:rPr>
              <w:t>负</w:t>
            </w:r>
            <w:r>
              <w:rPr>
                <w:rFonts w:hint="eastAsia" w:ascii="宋体" w:hAnsi="宋体" w:eastAsia="宋体" w:cs="宋体"/>
                <w:sz w:val="24"/>
                <w:szCs w:val="24"/>
                <w:lang w:val="en-US" w:eastAsia="zh-CN"/>
              </w:rPr>
              <w:t>责能源信息的传递及交流；通过建立实施和保持适当的信息交流沟通、确保了公司内部以及与外部相关方的联系和回应、保证能源管理体系的有效运行；其中：</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内部信息交流：</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法律法规、标准及其他要求、目标、指标及管理方案的实施、能源基准及能源绩效参数、体系运行的监测结果、内审和管理评审的结果，由运行保障中心传达到各部门；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另内部能源体系宣传教育包括：节能形势政策；节约能源带来的社会和经济效益；交流节能技术；节能知识竞赛；组建节能小组；征集合理化建议；评选节能先进；</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外部信息交流：</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从相关方收集、接收的能源供应信息及时传递给相关方；上级部门或相关方需要公司能源信息；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会议、公告栏、简报、意见箱、微信群等；</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编制了“告相关方书”明确了本组织的能源方针和目标、及对相关方可能的施加的影响、这些影响也对组织的供方产生了一定的作用；</w:t>
            </w:r>
          </w:p>
        </w:tc>
        <w:tc>
          <w:tcPr>
            <w:tcW w:w="756" w:type="dxa"/>
            <w:gridSpan w:val="2"/>
            <w:vAlign w:val="top"/>
          </w:tcPr>
          <w:p/>
          <w:p>
            <w:pPr>
              <w:pStyle w:val="10"/>
            </w:pPr>
          </w:p>
          <w:p>
            <w:pPr>
              <w:pStyle w:val="10"/>
            </w:pPr>
          </w:p>
          <w:p>
            <w:pPr>
              <w:pStyle w:val="10"/>
            </w:pPr>
          </w:p>
          <w:p>
            <w:pPr>
              <w:pStyle w:val="10"/>
            </w:pPr>
          </w:p>
          <w:p>
            <w:pPr>
              <w:pStyle w:val="10"/>
              <w:ind w:left="0" w:leftChars="0" w:firstLine="0" w:firstLineChars="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运行策划和控制</w:t>
            </w:r>
          </w:p>
        </w:tc>
        <w:tc>
          <w:tcPr>
            <w:tcW w:w="960" w:type="dxa"/>
            <w:vAlign w:val="top"/>
          </w:tcPr>
          <w:p>
            <w:p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8.1</w:t>
            </w:r>
            <w:r>
              <w:rPr>
                <w:rFonts w:hint="eastAsia" w:ascii="宋体" w:hAnsi="宋体" w:cs="宋体"/>
                <w:color w:val="auto"/>
                <w:sz w:val="24"/>
                <w:szCs w:val="24"/>
                <w:lang w:val="en-US" w:eastAsia="zh-CN"/>
              </w:rPr>
              <w:t>/</w:t>
            </w:r>
          </w:p>
          <w:p>
            <w:pPr>
              <w:rPr>
                <w:rFonts w:hint="default" w:ascii="宋体" w:hAnsi="宋体" w:eastAsia="宋体" w:cs="宋体"/>
                <w:sz w:val="24"/>
                <w:szCs w:val="24"/>
                <w:lang w:val="en-US" w:eastAsia="zh-CN"/>
              </w:rPr>
            </w:pPr>
            <w:r>
              <w:rPr>
                <w:rFonts w:hint="eastAsia" w:ascii="宋体" w:hAnsi="宋体" w:cs="宋体"/>
                <w:color w:val="auto"/>
                <w:sz w:val="24"/>
                <w:szCs w:val="24"/>
                <w:lang w:val="en-US" w:eastAsia="zh-CN"/>
              </w:rPr>
              <w:t>8.3</w:t>
            </w:r>
          </w:p>
        </w:tc>
        <w:tc>
          <w:tcPr>
            <w:tcW w:w="10833" w:type="dxa"/>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编制了《能源管理制度》、《节能降耗管理制度》、《设备管理制度》等；</w:t>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运行情况：</w:t>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1节电控制：</w:t>
            </w:r>
            <w:r>
              <w:rPr>
                <w:rFonts w:hint="default" w:ascii="宋体" w:hAnsi="宋体" w:eastAsia="宋体" w:cs="宋体"/>
                <w:color w:val="auto"/>
                <w:sz w:val="24"/>
                <w:szCs w:val="24"/>
                <w:lang w:val="en-US" w:eastAsia="zh-CN"/>
              </w:rPr>
              <w:t xml:space="preserve">办公室全体人员树立节约用电、安全用电意识。在工作需要时开灯，人离办公室必须随手关灯，光线好的房间，必须关闭照明设备。走廊、楼道里的灯要随手关闭，办公场所应关闭不必要的夜间照明。  </w:t>
            </w:r>
            <w:r>
              <w:rPr>
                <w:rFonts w:hint="eastAsia" w:ascii="宋体" w:hAnsi="宋体" w:eastAsia="宋体" w:cs="宋体"/>
                <w:color w:val="auto"/>
                <w:sz w:val="24"/>
                <w:szCs w:val="24"/>
                <w:lang w:val="en-US" w:eastAsia="zh-CN"/>
              </w:rPr>
              <w:t>现场观察符合要求</w:t>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尽量少用空调设备，必须使用空调时，按统一规定执行。如发现下班后未关闭空调设备，对部门负责人</w:t>
            </w:r>
            <w:r>
              <w:rPr>
                <w:rFonts w:hint="eastAsia" w:ascii="宋体" w:hAnsi="宋体" w:eastAsia="宋体" w:cs="宋体"/>
                <w:color w:val="auto"/>
                <w:sz w:val="24"/>
                <w:szCs w:val="24"/>
                <w:lang w:val="en-US" w:eastAsia="zh-CN"/>
              </w:rPr>
              <w:t>进行批评教育，现场观察符合要求</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 xml:space="preserve">电脑设备不使用时，要进入低能耗休眠状态，减少待机能耗。工作完后，及时关闭计算机、打印机、传真机等设备，下班后无待机现象。  </w:t>
            </w:r>
            <w:r>
              <w:rPr>
                <w:rFonts w:hint="eastAsia" w:ascii="宋体" w:hAnsi="宋体" w:eastAsia="宋体" w:cs="宋体"/>
                <w:color w:val="auto"/>
                <w:sz w:val="24"/>
                <w:szCs w:val="24"/>
                <w:lang w:val="en-US" w:eastAsia="zh-CN"/>
              </w:rPr>
              <w:t>现场观察符合要求</w:t>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各办公室电脑、空调、电扇、饮水机等一切电器设备应在下班时确保关闭</w:t>
            </w:r>
            <w:r>
              <w:rPr>
                <w:rFonts w:hint="eastAsia" w:ascii="宋体" w:hAnsi="宋体" w:eastAsia="宋体" w:cs="宋体"/>
                <w:color w:val="auto"/>
                <w:sz w:val="24"/>
                <w:szCs w:val="24"/>
                <w:lang w:val="en-US" w:eastAsia="zh-CN"/>
              </w:rPr>
              <w:t>.现场观察，符合要求</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严禁在办公室使用电炉、电暖气、电热水壶等高压负荷电器，不得随意搭接电线设备</w:t>
            </w:r>
            <w:r>
              <w:rPr>
                <w:rFonts w:hint="eastAsia" w:ascii="宋体" w:hAnsi="宋体" w:eastAsia="宋体" w:cs="宋体"/>
                <w:color w:val="auto"/>
                <w:sz w:val="24"/>
                <w:szCs w:val="24"/>
                <w:lang w:val="en-US" w:eastAsia="zh-CN"/>
              </w:rPr>
              <w:t>.现场观察符合要求</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办公室区域：节水，水龙头没有滴水情况，中水擦地、浇水、冲厕所</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能源管理：现场采用声控节能灯，未发现有漏水和浪费电能的现象。</w:t>
            </w:r>
          </w:p>
          <w:p>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能源采购：公司用能（电力）由物业统一供应，不需要采购，公司的采购主要是电子元件及办公用品。 </w:t>
            </w:r>
          </w:p>
          <w:p>
            <w:pPr>
              <w:rPr>
                <w:rFonts w:hint="default" w:ascii="宋体" w:hAnsi="宋体" w:eastAsia="宋体" w:cs="宋体"/>
                <w:sz w:val="24"/>
                <w:szCs w:val="24"/>
                <w:lang w:val="en-US"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能源运行符合要求</w:t>
            </w:r>
            <w:r>
              <w:rPr>
                <w:rFonts w:hint="eastAsia" w:ascii="宋体" w:hAnsi="宋体" w:cs="宋体"/>
                <w:color w:val="auto"/>
                <w:sz w:val="24"/>
                <w:szCs w:val="24"/>
                <w:lang w:val="en-US" w:eastAsia="zh-CN"/>
              </w:rPr>
              <w:t>；</w:t>
            </w:r>
          </w:p>
        </w:tc>
        <w:tc>
          <w:tcPr>
            <w:tcW w:w="756" w:type="dxa"/>
            <w:gridSpan w:val="2"/>
          </w:tcPr>
          <w:p/>
          <w:p>
            <w:pPr>
              <w:pStyle w:val="10"/>
            </w:pPr>
          </w:p>
          <w:p>
            <w:pPr>
              <w:pStyle w:val="10"/>
            </w:pPr>
          </w:p>
          <w:p>
            <w:pPr>
              <w:pStyle w:val="10"/>
            </w:pPr>
          </w:p>
          <w:p>
            <w:pPr>
              <w:pStyle w:val="10"/>
            </w:pPr>
          </w:p>
          <w:p>
            <w:pPr>
              <w:pStyle w:val="1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不符合和纠正措施</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p>
            <w:pPr>
              <w:rPr>
                <w:rFonts w:hint="eastAsia" w:ascii="宋体" w:hAnsi="宋体" w:eastAsia="宋体" w:cs="宋体"/>
                <w:sz w:val="24"/>
                <w:szCs w:val="24"/>
                <w:lang w:val="en-US" w:eastAsia="zh-CN"/>
              </w:rPr>
            </w:pPr>
          </w:p>
        </w:tc>
        <w:tc>
          <w:tcPr>
            <w:tcW w:w="10833"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tc>
        <w:tc>
          <w:tcPr>
            <w:tcW w:w="756" w:type="dxa"/>
            <w:gridSpan w:val="2"/>
            <w:vAlign w:val="top"/>
          </w:tcPr>
          <w:p/>
          <w:p>
            <w:pPr>
              <w:pStyle w:val="10"/>
              <w:rPr>
                <w:rFonts w:hint="eastAsia" w:eastAsia="宋体"/>
                <w:lang w:val="en-US" w:eastAsia="zh-CN"/>
              </w:rPr>
            </w:pPr>
            <w:r>
              <w:rPr>
                <w:rFonts w:hint="eastAsia"/>
                <w:lang w:val="en-US" w:eastAsia="zh-CN"/>
              </w:rPr>
              <w:t>y</w:t>
            </w:r>
          </w:p>
        </w:tc>
      </w:tr>
    </w:tbl>
    <w:p>
      <w:pPr>
        <w:pStyle w:val="10"/>
        <w:ind w:left="0" w:leftChars="0" w:firstLine="0" w:firstLineChars="0"/>
        <w:rPr>
          <w:rFonts w:hint="eastAsia"/>
        </w:rPr>
      </w:pPr>
    </w:p>
    <w:p>
      <w:pPr>
        <w:pStyle w:val="10"/>
        <w:rPr>
          <w:rFonts w:hint="eastAsia"/>
        </w:rPr>
      </w:pPr>
    </w:p>
    <w:p>
      <w:pPr>
        <w:pStyle w:val="10"/>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2"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rFonts w:hint="eastAsia"/>
                              <w:sz w:val="18"/>
                              <w:szCs w:val="18"/>
                            </w:rPr>
                          </w:pPr>
                          <w:r>
                            <w:rPr>
                              <w:rFonts w:hint="eastAsia"/>
                              <w:sz w:val="18"/>
                              <w:szCs w:val="18"/>
                            </w:rPr>
                            <w:t>ISC-B-II-12(05版）</w:t>
                          </w:r>
                        </w:p>
                      </w:txbxContent>
                    </wps:txbx>
                    <wps:bodyPr upright="1"/>
                  </wps:wsp>
                </a:graphicData>
              </a:graphic>
            </wp:anchor>
          </w:drawing>
        </mc:Choice>
        <mc:Fallback>
          <w:pict>
            <v:shape id="文本框 1"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hYp7ksEBAAB3AwAADgAAAAAAAAABACAAAAAnAQAAZHJzL2Uyb0Rv&#10;Yy54bWxQSwUGAAAAAAYABgBZAQAAWgUAAAAA&#10;">
              <v:fill on="t" focussize="0,0"/>
              <v:stroke on="f"/>
              <v:imagedata o:title=""/>
              <o:lock v:ext="edit" aspectratio="f"/>
              <v:textbox>
                <w:txbxContent>
                  <w:p>
                    <w:pPr>
                      <w:rPr>
                        <w:rFonts w:hint="eastAsia"/>
                        <w:sz w:val="18"/>
                        <w:szCs w:val="18"/>
                      </w:rPr>
                    </w:pPr>
                    <w:r>
                      <w:rPr>
                        <w:rFonts w:hint="eastAsia"/>
                        <w:sz w:val="18"/>
                        <w:szCs w:val="18"/>
                      </w:rPr>
                      <w:t>ISC-B-II-12(05版）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8"/>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6DEB"/>
    <w:rsid w:val="019D1AFC"/>
    <w:rsid w:val="0A3242D3"/>
    <w:rsid w:val="0B8A0A2D"/>
    <w:rsid w:val="0C2571E7"/>
    <w:rsid w:val="0CB377F9"/>
    <w:rsid w:val="132D1A6D"/>
    <w:rsid w:val="16214728"/>
    <w:rsid w:val="19572D00"/>
    <w:rsid w:val="1C620DB3"/>
    <w:rsid w:val="1F972610"/>
    <w:rsid w:val="210F3161"/>
    <w:rsid w:val="2AF73F35"/>
    <w:rsid w:val="2C4776ED"/>
    <w:rsid w:val="2C912355"/>
    <w:rsid w:val="2DBE24AF"/>
    <w:rsid w:val="2F9E7840"/>
    <w:rsid w:val="300C6298"/>
    <w:rsid w:val="3081006F"/>
    <w:rsid w:val="3554320A"/>
    <w:rsid w:val="36F85A5A"/>
    <w:rsid w:val="38EE1AA1"/>
    <w:rsid w:val="40CA7539"/>
    <w:rsid w:val="423B055B"/>
    <w:rsid w:val="42E81290"/>
    <w:rsid w:val="43373BE8"/>
    <w:rsid w:val="4A5E710A"/>
    <w:rsid w:val="4DB04522"/>
    <w:rsid w:val="51104AF3"/>
    <w:rsid w:val="53897D52"/>
    <w:rsid w:val="570F23A9"/>
    <w:rsid w:val="58DF3FA9"/>
    <w:rsid w:val="599A19ED"/>
    <w:rsid w:val="5AAB65B8"/>
    <w:rsid w:val="5B1D4AC9"/>
    <w:rsid w:val="5D006001"/>
    <w:rsid w:val="5E846905"/>
    <w:rsid w:val="5EB601B2"/>
    <w:rsid w:val="5F64084C"/>
    <w:rsid w:val="626B03AD"/>
    <w:rsid w:val="64B336DA"/>
    <w:rsid w:val="68A40D22"/>
    <w:rsid w:val="7255585A"/>
    <w:rsid w:val="76BF2221"/>
    <w:rsid w:val="77BF0193"/>
    <w:rsid w:val="78C54F3E"/>
    <w:rsid w:val="7D4420B1"/>
    <w:rsid w:val="7EF83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line="360" w:lineRule="auto"/>
      <w:ind w:firstLine="200" w:firstLineChars="200"/>
      <w:outlineLvl w:val="1"/>
    </w:pPr>
    <w:rPr>
      <w:rFonts w:ascii="Cambria" w:hAnsi="Cambria" w:eastAsia="宋体" w:cs="Times New Roman"/>
      <w:b/>
      <w:bCs/>
      <w:sz w:val="2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华文细黑"/>
      <w:sz w:val="24"/>
    </w:rPr>
  </w:style>
  <w:style w:type="paragraph" w:styleId="4">
    <w:name w:val="Body Text Indent"/>
    <w:basedOn w:val="1"/>
    <w:qFormat/>
    <w:uiPriority w:val="0"/>
    <w:pPr>
      <w:spacing w:line="500" w:lineRule="exact"/>
      <w:ind w:firstLine="600"/>
    </w:pPr>
    <w:rPr>
      <w:sz w:val="30"/>
    </w:rPr>
  </w:style>
  <w:style w:type="paragraph" w:styleId="5">
    <w:name w:val="Plain Text"/>
    <w:basedOn w:val="1"/>
    <w:qFormat/>
    <w:uiPriority w:val="0"/>
    <w:pPr>
      <w:jc w:val="left"/>
    </w:pPr>
    <w:rPr>
      <w:rFonts w:ascii="Courier New" w:hAnsi="Courier New" w:eastAsia="PMingLiU" w:cs="Courier New"/>
      <w:sz w:val="20"/>
      <w:szCs w:val="20"/>
      <w:lang w:eastAsia="zh-TW"/>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unhideWhenUsed/>
    <w:qFormat/>
    <w:uiPriority w:val="99"/>
    <w:pPr>
      <w:ind w:firstLine="420" w:firstLineChars="100"/>
    </w:pPr>
  </w:style>
  <w:style w:type="paragraph" w:styleId="11">
    <w:name w:val="Body Text First Indent 2"/>
    <w:basedOn w:val="4"/>
    <w:qFormat/>
    <w:uiPriority w:val="0"/>
    <w:pPr>
      <w:spacing w:after="120" w:afterLines="0"/>
      <w:ind w:left="420" w:leftChars="200" w:firstLine="420" w:firstLineChars="200"/>
    </w:pPr>
    <w:rPr>
      <w:rFonts w:ascii="Times New Roman" w:hAnsi="Times New Roman"/>
      <w:szCs w:val="24"/>
    </w:rPr>
  </w:style>
  <w:style w:type="paragraph" w:customStyle="1" w:styleId="14">
    <w:name w:val="表格文字"/>
    <w:basedOn w:val="1"/>
    <w:qFormat/>
    <w:uiPriority w:val="0"/>
    <w:pPr>
      <w:spacing w:before="25" w:after="25"/>
    </w:pPr>
    <w:rPr>
      <w:bCs/>
      <w:spacing w:val="10"/>
    </w:rPr>
  </w:style>
  <w:style w:type="paragraph" w:customStyle="1" w:styleId="15">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批注框文本 字符"/>
    <w:basedOn w:val="13"/>
    <w:link w:val="6"/>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Normal_f365f792-2b40-44f2-849e-9437ef987791"/>
    <w:qFormat/>
    <w:uiPriority w:val="0"/>
    <w:pPr>
      <w:widowControl w:val="0"/>
      <w:pBdr>
        <w:top w:val="none" w:color="auto" w:sz="0" w:space="0"/>
        <w:left w:val="none" w:color="auto" w:sz="0" w:space="0"/>
        <w:bottom w:val="none" w:color="auto" w:sz="0" w:space="0"/>
        <w:right w:val="none" w:color="auto" w:sz="0" w:space="0"/>
      </w:pBdr>
      <w:shd w:val="clear" w:color="auto" w:fill="auto"/>
      <w:jc w:val="both"/>
    </w:pPr>
    <w:rPr>
      <w:rFonts w:ascii="Times New Roman" w:hAnsi="Times New Roman" w:eastAsia="宋体" w:cs="Times New Roman"/>
      <w:kern w:val="2"/>
      <w:sz w:val="21"/>
      <w:szCs w:val="24"/>
      <w:lang w:val="en-US" w:eastAsia="zh-CN" w:bidi="ar-SA"/>
    </w:rPr>
  </w:style>
  <w:style w:type="table" w:customStyle="1" w:styleId="21">
    <w:name w:val="普通表格_030ed9d3-1aee-4686-a47a-91ba6df5cd45"/>
    <w:unhideWhenUsed/>
    <w:qFormat/>
    <w:uiPriority w:val="99"/>
    <w:tblPr>
      <w:tblCellMar>
        <w:top w:w="0" w:type="dxa"/>
        <w:left w:w="108" w:type="dxa"/>
        <w:bottom w:w="0" w:type="dxa"/>
        <w:right w:w="108" w:type="dxa"/>
      </w:tblCellMar>
    </w:tblPr>
    <w:tcPr>
      <w:shd w:val="clear" w:color="auto" w:fill="auto"/>
    </w:tcPr>
  </w:style>
  <w:style w:type="paragraph" w:customStyle="1" w:styleId="22">
    <w:name w:val="列出段落1"/>
    <w:basedOn w:val="1"/>
    <w:qFormat/>
    <w:uiPriority w:val="0"/>
    <w:pPr>
      <w:ind w:firstLine="420" w:firstLineChars="200"/>
    </w:pPr>
  </w:style>
  <w:style w:type="paragraph" w:customStyle="1" w:styleId="23">
    <w:name w:val="列出段落"/>
    <w:basedOn w:val="1"/>
    <w:qFormat/>
    <w:uiPriority w:val="34"/>
    <w:pPr>
      <w:widowControl/>
      <w:spacing w:line="360" w:lineRule="auto"/>
      <w:ind w:firstLine="420" w:firstLineChars="200"/>
      <w:jc w:val="left"/>
    </w:pPr>
    <w:rPr>
      <w:kern w:val="0"/>
      <w:sz w:val="18"/>
      <w:szCs w:val="18"/>
    </w:rPr>
  </w:style>
  <w:style w:type="paragraph" w:customStyle="1" w:styleId="24">
    <w:name w:val="正文1"/>
    <w:basedOn w:val="1"/>
    <w:qFormat/>
    <w:uiPriority w:val="0"/>
    <w:pPr>
      <w:widowControl/>
      <w:overflowPunct w:val="0"/>
      <w:autoSpaceDE w:val="0"/>
      <w:autoSpaceDN w:val="0"/>
      <w:adjustRightInd w:val="0"/>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3457;&#26680;&#36164;&#26009;\&#33021;&#28304;\&#22269;&#26631;&#32852;&#21512;\2021.7-10\&#25104;&#37117;&#23578;&#20809;&#30005;&#23376;&#26377;&#38480;&#20844;&#21496;--------------------------------\&#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工作表.xlsx]Sheet1'!$B$4:$B$9</c:f>
              <c:strCache>
                <c:ptCount val="6"/>
                <c:pt idx="0">
                  <c:v>5月</c:v>
                </c:pt>
                <c:pt idx="1">
                  <c:v>6月</c:v>
                </c:pt>
                <c:pt idx="2">
                  <c:v>7月</c:v>
                </c:pt>
                <c:pt idx="3">
                  <c:v>8月</c:v>
                </c:pt>
                <c:pt idx="4">
                  <c:v>9月</c:v>
                </c:pt>
                <c:pt idx="5">
                  <c:v>10月</c:v>
                </c:pt>
              </c:strCache>
            </c:strRef>
          </c:cat>
          <c:val>
            <c:numRef>
              <c:f>'[新建 XLSX 工作表.xlsx]Sheet1'!$C$4:$C$9</c:f>
              <c:numCache>
                <c:formatCode>General</c:formatCode>
                <c:ptCount val="6"/>
                <c:pt idx="0">
                  <c:v>472</c:v>
                </c:pt>
                <c:pt idx="1">
                  <c:v>661</c:v>
                </c:pt>
                <c:pt idx="2">
                  <c:v>2638</c:v>
                </c:pt>
                <c:pt idx="3">
                  <c:v>2028</c:v>
                </c:pt>
                <c:pt idx="4">
                  <c:v>1268</c:v>
                </c:pt>
                <c:pt idx="5">
                  <c:v>866</c:v>
                </c:pt>
              </c:numCache>
            </c:numRef>
          </c:val>
          <c:smooth val="0"/>
        </c:ser>
        <c:dLbls>
          <c:showLegendKey val="0"/>
          <c:showVal val="1"/>
          <c:showCatName val="0"/>
          <c:showSerName val="0"/>
          <c:showPercent val="0"/>
          <c:showBubbleSize val="0"/>
        </c:dLbls>
        <c:marker val="0"/>
        <c:smooth val="0"/>
        <c:axId val="371180108"/>
        <c:axId val="485756503"/>
      </c:lineChart>
      <c:catAx>
        <c:axId val="3711801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月份</a:t>
                </a:r>
              </a:p>
            </c:rich>
          </c:tx>
          <c:layout>
            <c:manualLayout>
              <c:xMode val="edge"/>
              <c:yMode val="edge"/>
              <c:x val="0.485666666666667"/>
              <c:y val="0.8875"/>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5756503"/>
        <c:crosses val="autoZero"/>
        <c:auto val="1"/>
        <c:lblAlgn val="ctr"/>
        <c:lblOffset val="100"/>
        <c:noMultiLvlLbl val="0"/>
      </c:catAx>
      <c:valAx>
        <c:axId val="485756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耗电量</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1801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4</TotalTime>
  <ScaleCrop>false</ScaleCrop>
  <LinksUpToDate>false</LinksUpToDate>
  <CharactersWithSpaces>147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2022-01-02T13:24:19Z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2052-11.1.0.10667</vt:lpwstr>
  </property>
</Properties>
</file>