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西安标准精密机械有限公司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陕西省西安市高新区高新三路8号橙仕空间2幢1单元11502-570室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陕西省西安市雁塔区科技六路1号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赵晓春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18691886819</w:t>
            </w:r>
            <w:bookmarkEnd w:id="3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lkl@jnmi. cn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5" w:name="最高管理者"/>
            <w:bookmarkEnd w:id="5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0726-2020-Q-2021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■远程审核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机械加工</w:t>
            </w:r>
            <w:bookmarkEnd w:id="20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17.10.02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2021年12月22日 上午至2021年12月22日 下午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1.0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21590</wp:posOffset>
                  </wp:positionV>
                  <wp:extent cx="633095" cy="525780"/>
                  <wp:effectExtent l="0" t="0" r="0" b="0"/>
                  <wp:wrapNone/>
                  <wp:docPr id="1" name="图片 2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095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2021.12.22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2021.12.22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2021.12.22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br w:type="page"/>
      </w:r>
      <w:bookmarkStart w:id="31" w:name="_GoBack"/>
      <w:bookmarkEnd w:id="31"/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6644005" cy="9206865"/>
            <wp:effectExtent l="0" t="0" r="10795" b="635"/>
            <wp:wrapNone/>
            <wp:docPr id="4" name="图片 4" descr="西安标准精密机械签字盖章文件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西安标准精密机械签字盖章文件_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4005" cy="920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30"/>
        <w:gridCol w:w="1130"/>
        <w:gridCol w:w="3240"/>
        <w:gridCol w:w="237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2021.12.22</w:t>
            </w: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8:30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-9：00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主管领导</w:t>
            </w:r>
          </w:p>
        </w:tc>
        <w:tc>
          <w:tcPr>
            <w:tcW w:w="32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cs="宋体"/>
                <w:sz w:val="21"/>
                <w:szCs w:val="21"/>
              </w:rPr>
              <w:t>首次会议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管理层</w:t>
            </w:r>
          </w:p>
        </w:tc>
        <w:tc>
          <w:tcPr>
            <w:tcW w:w="324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与管理层有关的质量管理活动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Q:4.1；4.2；4.3；4.4；5.1；5.2；5.3；6.1；6.2；6.3；7.1.1；7.4；9.1.1；9.3；10.1；10.3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综合部</w:t>
            </w:r>
          </w:p>
        </w:tc>
        <w:tc>
          <w:tcPr>
            <w:tcW w:w="32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部门职责权限、目标管理方案、人力资源管理过程、资源提供与管理过程控制、产品和服务的要求、外部提供的产品服务、顾客和外部供方财产、交付后活动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内外部信息交流过程、内审管理、内外部信息交流等过程管理体系运行过程；</w:t>
            </w:r>
          </w:p>
        </w:tc>
        <w:tc>
          <w:tcPr>
            <w:tcW w:w="237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snapToGrid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Q:5.3；6.2；7.1.2；7.1.6；7.2；7.3；7.4；7.5；8.2；8.4；8.5.3；8.5.5；9.1.2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9.1.3；9.2；10.2</w:t>
            </w:r>
          </w:p>
          <w:p>
            <w:pPr>
              <w:widowControl/>
              <w:jc w:val="left"/>
            </w:pPr>
          </w:p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生产部</w:t>
            </w:r>
          </w:p>
        </w:tc>
        <w:tc>
          <w:tcPr>
            <w:tcW w:w="32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部门职责权限、目标,生产实现过程、基础设施、工作环境等管理体系运行过程控制；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Q:5.3；6.2；7.1.3；7.1.4；8.1；8.5.1；8.5.2；8.5.4；8.5.6；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1"/>
                <w:szCs w:val="21"/>
              </w:rPr>
              <w:t>:30-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技术部</w:t>
            </w:r>
          </w:p>
        </w:tc>
        <w:tc>
          <w:tcPr>
            <w:tcW w:w="32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部门职责权限、目标,产品放行、不合格等管理体系运行过程控制；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Q：5.3；6.2；7.1.5；8.6；8.7；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:30-1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</w:rPr>
              <w:t>:00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补充审核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主管领导</w:t>
            </w:r>
          </w:p>
        </w:tc>
        <w:tc>
          <w:tcPr>
            <w:tcW w:w="56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与企业领导层沟通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6230FE"/>
    <w:rsid w:val="105B4860"/>
    <w:rsid w:val="16DC22D7"/>
    <w:rsid w:val="18167A61"/>
    <w:rsid w:val="3ED65ABD"/>
    <w:rsid w:val="4F3116AE"/>
    <w:rsid w:val="74B42506"/>
    <w:rsid w:val="79AC46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2022-02-08T01:10:39Z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2052-11.1.0.11294</vt:lpwstr>
  </property>
</Properties>
</file>