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0735-2020-Q-2021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陕西精一工业科技有限公司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陕西精一工业科技有限公司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陕西省西咸新区沣东新城天海星沣东数码工坊B区3栋一层</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陕西省西咸新区沣东新城天海星沣东数码工坊B区3栋一层</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王晓志</w:t>
            </w:r>
            <w:bookmarkEnd w:id="10"/>
          </w:p>
        </w:tc>
        <w:tc>
          <w:tcPr>
            <w:tcW w:w="1313" w:type="dxa"/>
            <w:vAlign w:val="center"/>
          </w:tcPr>
          <w:p>
            <w:r>
              <w:rPr>
                <w:rFonts w:hint="eastAsia"/>
              </w:rPr>
              <w:t>电话.</w:t>
            </w:r>
          </w:p>
        </w:tc>
        <w:tc>
          <w:tcPr>
            <w:tcW w:w="2180" w:type="dxa"/>
            <w:vAlign w:val="center"/>
          </w:tcPr>
          <w:p>
            <w:bookmarkStart w:id="11" w:name="联系人电话"/>
            <w:r>
              <w:t>15691770111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赵晓春</w:t>
            </w:r>
            <w:bookmarkEnd w:id="13"/>
          </w:p>
        </w:tc>
        <w:tc>
          <w:tcPr>
            <w:tcW w:w="1313" w:type="dxa"/>
            <w:vAlign w:val="center"/>
          </w:tcPr>
          <w:p>
            <w:r>
              <w:rPr>
                <w:rFonts w:hint="eastAsia"/>
              </w:rPr>
              <w:t>管理者代表</w:t>
            </w:r>
          </w:p>
        </w:tc>
        <w:tc>
          <w:tcPr>
            <w:tcW w:w="2180" w:type="dxa"/>
          </w:tcPr>
          <w:p>
            <w:bookmarkStart w:id="14" w:name="管理者代表"/>
            <w:r>
              <w:t>赵晓春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精密零部件的加工：</w:t>
            </w:r>
          </w:p>
          <w:p>
            <w:pPr>
              <w:rPr>
                <w:rFonts w:hint="eastAsia"/>
              </w:rPr>
            </w:pPr>
            <w:r>
              <w:rPr>
                <w:rFonts w:hint="eastAsia"/>
              </w:rPr>
              <w:t>来料检验→粗加工工序→精加工工序→检验→包装→用户</w:t>
            </w:r>
          </w:p>
          <w:p>
            <w:pPr>
              <w:rPr>
                <w:rFonts w:hint="eastAsia" w:eastAsia="宋体"/>
                <w:lang w:eastAsia="zh-CN"/>
              </w:rPr>
            </w:pPr>
            <w:r>
              <w:rPr>
                <w:rFonts w:hint="eastAsia"/>
              </w:rPr>
              <w:t>工业缝纫机的设计生产和销售</w:t>
            </w:r>
            <w:r>
              <w:rPr>
                <w:rFonts w:hint="eastAsia"/>
                <w:lang w:eastAsia="zh-CN"/>
              </w:rPr>
              <w:t>：</w:t>
            </w:r>
          </w:p>
          <w:p>
            <w:r>
              <w:rPr>
                <w:rFonts w:hint="eastAsia"/>
              </w:rPr>
              <w:t>客户设计咨询→技术确认→设计方案→客户确认方案→生产加工→检验验收→用户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2021年12月24日 上午至2021年12月24日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陕西省西咸新区沣东新城天海星沣东数码工坊B区3栋一层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精密零部件的加工，工业缝纫机的设计生产和销售。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17.10.02;18.05.04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陕西精一工业科技有限公司</w:t>
            </w:r>
          </w:p>
          <w:p>
            <w:pPr>
              <w:rPr>
                <w:lang w:val="de-DE" w:eastAsia="ja-JP"/>
              </w:rPr>
            </w:pPr>
            <w:r>
              <w:rPr>
                <w:rFonts w:hint="eastAsia"/>
                <w:lang w:val="de-DE" w:eastAsia="ja-JP"/>
              </w:rPr>
              <w:t>陕西省西咸新区沣东新城天海星沣东数码工坊B区3栋一层</w:t>
            </w:r>
          </w:p>
        </w:tc>
        <w:tc>
          <w:tcPr>
            <w:tcW w:w="2267" w:type="dxa"/>
          </w:tcPr>
          <w:p>
            <w:pPr>
              <w:rPr>
                <w:lang w:val="de-DE" w:eastAsia="ja-JP"/>
              </w:rPr>
            </w:pPr>
            <w:r>
              <w:rPr>
                <w:rFonts w:hint="eastAsia"/>
                <w:lang w:val="de-DE" w:eastAsia="ja-JP"/>
              </w:rPr>
              <w:t>陕西省西咸新区沣东新城天海星沣东数码工坊B区3栋一层</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lang w:eastAsia="ja-JP"/>
              </w:rPr>
              <w:t>精密零部件的加工，工业缝纫机的设计生产和销售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17.10.02,18.05.04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247650</wp:posOffset>
                  </wp:positionH>
                  <wp:positionV relativeFrom="paragraph">
                    <wp:posOffset>30480</wp:posOffset>
                  </wp:positionV>
                  <wp:extent cx="457200" cy="351155"/>
                  <wp:effectExtent l="0" t="0" r="0" b="444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57200" cy="3511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2021.12.24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最高管理者制定了文件化的管理体系方针：技术创新，规范服务；持续改进，顾客满意</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100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color w:val="000000"/>
                      <w:szCs w:val="21"/>
                    </w:rPr>
                    <w:t>顾客满意率  ≥90分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eastAsia="宋体"/>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600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rFonts w:hint="default"/>
                <w:u w:val="single"/>
                <w:lang w:val="en-US"/>
              </w:rPr>
            </w:pPr>
            <w:r>
              <w:rPr>
                <w:rFonts w:hint="eastAsia"/>
              </w:rPr>
              <w:t>主要生产设备有：</w:t>
            </w:r>
            <w:r>
              <w:rPr>
                <w:rFonts w:hint="eastAsia"/>
                <w:u w:val="single"/>
                <w:lang w:val="en-US" w:eastAsia="zh-CN"/>
              </w:rPr>
              <w:t>数控车床、加工中心、卧式普通车床、磨床、台钻、铣床等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bookmarkStart w:id="34" w:name="_GoBack"/>
            <w:bookmarkEnd w:id="34"/>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游标卡尺、内径百分表</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零部件</w:t>
                  </w:r>
                </w:p>
              </w:tc>
              <w:tc>
                <w:tcPr>
                  <w:tcW w:w="3665" w:type="dxa"/>
                </w:tcPr>
                <w:p>
                  <w:pPr>
                    <w:shd w:val="clear" w:color="auto" w:fill="C7DAF1" w:themeFill="text2" w:themeFillTint="32"/>
                    <w:jc w:val="left"/>
                  </w:pPr>
                  <w:r>
                    <w:rPr>
                      <w:rFonts w:hint="eastAsia"/>
                      <w:lang w:val="en-US" w:eastAsia="zh-CN"/>
                    </w:rPr>
                    <w:t>精加工</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工业缝纫机的设计生产和销售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组装、测试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11-12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0C3F9D"/>
    <w:rsid w:val="125C471A"/>
    <w:rsid w:val="30A82846"/>
    <w:rsid w:val="45210EE9"/>
    <w:rsid w:val="567C0D81"/>
    <w:rsid w:val="5F1C298E"/>
    <w:rsid w:val="6F4D5330"/>
    <w:rsid w:val="789D1ACE"/>
    <w:rsid w:val="7AC75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2022-03-01T08:24:13Z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