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-220980</wp:posOffset>
            </wp:positionV>
            <wp:extent cx="6398260" cy="9103360"/>
            <wp:effectExtent l="0" t="0" r="2540" b="2540"/>
            <wp:wrapNone/>
            <wp:docPr id="2" name="图片 2" descr="扫描全能王 2021-12-21 17.0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21 17.06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8260" cy="910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西安风林科技有限公司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(手册版本号：A/0)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1317-2021-Q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2021.12.21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2021.12.21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2021.12.21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12" w:name="_GoBack"/>
      <w:bookmarkEnd w:id="12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1F20DBE"/>
    <w:rsid w:val="6F196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2021-12-26T03:54:20Z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2052-11.1.0.11194</vt:lpwstr>
  </property>
</Properties>
</file>