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1309-2021-QEO</w:t>
      </w:r>
      <w:bookmarkEnd w:id="0"/>
    </w:p>
    <w:p>
      <w:pPr>
        <w:snapToGrid w:val="0"/>
        <w:spacing w:after="93"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rPr>
          <w:rFonts w:ascii="楷体" w:hAnsi="楷体" w:eastAsia="楷体"/>
          <w:b/>
          <w:color w:val="000000"/>
          <w:sz w:val="32"/>
          <w:szCs w:val="32"/>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无锡市森大竹木业有限公司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3" w:afterLines="30"/>
        <w:jc w:val="center"/>
        <w:rPr>
          <w:rFonts w:ascii="楷体" w:hAnsi="楷体" w:eastAsia="楷体"/>
          <w:b/>
          <w:color w:val="000000"/>
          <w:sz w:val="32"/>
          <w:szCs w:val="32"/>
        </w:rPr>
      </w:pPr>
    </w:p>
    <w:p>
      <w:pPr>
        <w:snapToGrid w:val="0"/>
        <w:spacing w:after="93"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2022年01月08日 上午至2022年01月08日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w:t>
            </w:r>
            <w:r>
              <w:rPr>
                <w:rFonts w:ascii="Wingdings" w:hAnsi="Wingdings"/>
                <w:color w:val="000000"/>
              </w:rPr>
              <w:sym w:font="Wingdings 2" w:char="F0A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ascii="Wingdings" w:hAnsi="Wingdings"/>
                <w:color w:val="000000"/>
              </w:rPr>
              <w:sym w:font="Wingdings 2" w:char="F0A2"/>
            </w:r>
            <w:r>
              <w:rPr>
                <w:rFonts w:hint="eastAsia" w:ascii="宋体"/>
                <w:b/>
                <w:color w:val="000000"/>
                <w:szCs w:val="21"/>
              </w:rPr>
              <w:t>现场审核</w:t>
            </w:r>
            <w:r>
              <w:rPr>
                <w:rFonts w:ascii="Wingdings" w:hAnsi="Wingdings"/>
                <w:color w:val="000000"/>
              </w:rPr>
              <w:sym w:font="Wingdings 2" w:char="F0A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江苏省宜兴市太华镇桥涯村</w:t>
            </w:r>
          </w:p>
          <w:p>
            <w:pPr>
              <w:rPr>
                <w:rFonts w:hint="eastAsia"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ascii="Wingdings" w:hAnsi="Wingdings"/>
                <w:color w:val="000000"/>
              </w:rPr>
              <w:sym w:font="Wingdings 2" w:char="F0A2"/>
            </w:r>
            <w:r>
              <w:rPr>
                <w:rFonts w:hint="eastAsia" w:ascii="宋体"/>
                <w:b/>
                <w:color w:val="0000FF"/>
                <w:szCs w:val="21"/>
              </w:rPr>
              <w:t>音频</w:t>
            </w:r>
            <w:r>
              <w:rPr>
                <w:rFonts w:ascii="Wingdings" w:hAnsi="Wingdings"/>
                <w:color w:val="000000"/>
              </w:rPr>
              <w:sym w:font="Wingdings 2" w:char="F0A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ascii="Wingdings" w:hAnsi="Wingdings"/>
                <w:color w:val="000000"/>
              </w:rPr>
              <w:sym w:font="Wingdings 2" w:char="F0A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w:t>
            </w:r>
            <w:r>
              <w:rPr>
                <w:rFonts w:ascii="Wingdings" w:hAnsi="Wingdings"/>
                <w:color w:val="000000"/>
              </w:rPr>
              <w:sym w:font="Wingdings 2" w:char="F0A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2021-N1QMS-5059501</w:t>
            </w:r>
          </w:p>
          <w:p>
            <w:pPr>
              <w:spacing w:line="240" w:lineRule="exact"/>
              <w:jc w:val="center"/>
              <w:rPr>
                <w:b/>
                <w:color w:val="000000"/>
                <w:szCs w:val="21"/>
              </w:rPr>
            </w:pPr>
            <w:r>
              <w:rPr>
                <w:b/>
                <w:color w:val="000000"/>
                <w:szCs w:val="21"/>
              </w:rPr>
              <w:t>2020-N1EMS-3059501</w:t>
            </w:r>
          </w:p>
          <w:p>
            <w:pPr>
              <w:spacing w:line="240" w:lineRule="exact"/>
              <w:jc w:val="center"/>
              <w:rPr>
                <w:b/>
                <w:color w:val="000000"/>
                <w:szCs w:val="21"/>
              </w:rPr>
            </w:pPr>
            <w:r>
              <w:rPr>
                <w:b/>
                <w:color w:val="000000"/>
                <w:szCs w:val="21"/>
              </w:rPr>
              <w:t>2019-N1OHSMS-2059501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叶默琰</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ISC-JSZJ-468</w:t>
            </w:r>
          </w:p>
          <w:p>
            <w:pPr>
              <w:spacing w:line="240" w:lineRule="exact"/>
              <w:jc w:val="center"/>
              <w:rPr>
                <w:b/>
                <w:color w:val="000000"/>
                <w:szCs w:val="21"/>
              </w:rPr>
            </w:pPr>
            <w:r>
              <w:rPr>
                <w:b/>
                <w:color w:val="000000"/>
                <w:szCs w:val="21"/>
              </w:rPr>
              <w:t>ISC-JSZJ-468</w:t>
            </w:r>
          </w:p>
          <w:p>
            <w:pPr>
              <w:spacing w:line="240" w:lineRule="exact"/>
              <w:jc w:val="center"/>
              <w:rPr>
                <w:b/>
                <w:color w:val="000000"/>
                <w:szCs w:val="21"/>
              </w:rPr>
            </w:pPr>
            <w:r>
              <w:rPr>
                <w:b/>
                <w:color w:val="000000"/>
                <w:szCs w:val="21"/>
              </w:rPr>
              <w:t>ISC-JSZJ-468</w:t>
            </w:r>
          </w:p>
          <w:p>
            <w:pPr>
              <w:spacing w:line="240" w:lineRule="exact"/>
              <w:jc w:val="center"/>
              <w:rPr>
                <w:b/>
                <w:color w:val="000000"/>
                <w:szCs w:val="21"/>
              </w:rPr>
            </w:pPr>
            <w:r>
              <w:rPr>
                <w:b/>
                <w:color w:val="000000"/>
                <w:szCs w:val="21"/>
              </w:rPr>
              <w:t>浙江容客建材有限公司</w:t>
            </w:r>
          </w:p>
        </w:tc>
        <w:tc>
          <w:tcPr>
            <w:tcW w:w="1140" w:type="dxa"/>
            <w:vAlign w:val="center"/>
          </w:tcPr>
          <w:p>
            <w:pPr>
              <w:spacing w:line="240" w:lineRule="exact"/>
              <w:jc w:val="center"/>
              <w:rPr>
                <w:b/>
                <w:color w:val="000000"/>
                <w:szCs w:val="21"/>
              </w:rPr>
            </w:pPr>
            <w:r>
              <w:rPr>
                <w:b/>
                <w:color w:val="000000"/>
                <w:szCs w:val="21"/>
              </w:rPr>
              <w:t>Q:06.02.01</w:t>
            </w:r>
          </w:p>
          <w:p>
            <w:pPr>
              <w:spacing w:line="240" w:lineRule="exact"/>
              <w:jc w:val="center"/>
              <w:rPr>
                <w:b/>
                <w:color w:val="000000"/>
                <w:szCs w:val="21"/>
              </w:rPr>
            </w:pPr>
            <w:r>
              <w:rPr>
                <w:b/>
                <w:color w:val="000000"/>
                <w:szCs w:val="21"/>
              </w:rPr>
              <w:t>E:06.02.01</w:t>
            </w:r>
          </w:p>
          <w:p>
            <w:pPr>
              <w:spacing w:line="240" w:lineRule="exact"/>
              <w:jc w:val="center"/>
              <w:rPr>
                <w:b/>
                <w:color w:val="000000"/>
                <w:szCs w:val="21"/>
              </w:rPr>
            </w:pPr>
            <w:r>
              <w:rPr>
                <w:b/>
                <w:color w:val="000000"/>
                <w:szCs w:val="21"/>
              </w:rPr>
              <w:t>O:06.02.01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王献华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2021-N1QMS-1244982</w:t>
            </w:r>
          </w:p>
          <w:p>
            <w:pPr>
              <w:spacing w:line="240" w:lineRule="exact"/>
              <w:jc w:val="center"/>
              <w:rPr>
                <w:b/>
                <w:color w:val="000000"/>
                <w:szCs w:val="21"/>
              </w:rPr>
            </w:pPr>
            <w:r>
              <w:rPr>
                <w:b/>
                <w:color w:val="000000"/>
                <w:szCs w:val="21"/>
              </w:rPr>
              <w:t>2021-N1EMS-1244982</w:t>
            </w:r>
          </w:p>
          <w:p>
            <w:pPr>
              <w:spacing w:line="240" w:lineRule="exact"/>
              <w:jc w:val="center"/>
              <w:rPr>
                <w:b/>
                <w:color w:val="000000"/>
                <w:szCs w:val="21"/>
              </w:rPr>
            </w:pPr>
            <w:r>
              <w:rPr>
                <w:b/>
                <w:color w:val="000000"/>
                <w:szCs w:val="21"/>
              </w:rPr>
              <w:t>2021-N1OHSMS-1244982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无锡市森大竹木业有限公司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宜兴市太华镇桥涯村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214235</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宜兴市太华镇桥涯村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214235</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董敏</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13961597100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陆兵</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崔家赫</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hint="eastAsia" w:ascii="宋体" w:hAnsi="宋体"/>
                <w:b/>
                <w:color w:val="000000"/>
                <w:szCs w:val="21"/>
              </w:rPr>
            </w:pPr>
            <w:r>
              <w:rPr>
                <w:rFonts w:hint="eastAsia" w:ascii="宋体" w:hAnsi="宋体"/>
                <w:b/>
                <w:color w:val="000000"/>
                <w:szCs w:val="21"/>
              </w:rPr>
              <w:t>竹木胶合板、实木地板、实木复合地板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ascii="宋体" w:hAnsi="宋体"/>
                <w:b/>
                <w:color w:val="000000"/>
                <w:szCs w:val="21"/>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rPr>
            </w:pPr>
            <w:r>
              <w:rPr>
                <w:rFonts w:hint="eastAsia" w:ascii="宋体"/>
                <w:color w:val="000000"/>
                <w:szCs w:val="21"/>
              </w:rPr>
              <w:t>销售过程：客户样品-提出需求-方案确认-采购-生产-确认验收</w:t>
            </w:r>
          </w:p>
          <w:p>
            <w:pPr>
              <w:tabs>
                <w:tab w:val="left" w:pos="360"/>
              </w:tabs>
              <w:ind w:left="360" w:hanging="360"/>
              <w:rPr>
                <w:rFonts w:hint="eastAsia" w:ascii="宋体"/>
                <w:color w:val="000000"/>
                <w:szCs w:val="21"/>
              </w:rPr>
            </w:pPr>
            <w:r>
              <w:rPr>
                <w:rFonts w:hint="eastAsia" w:ascii="宋体"/>
                <w:color w:val="000000"/>
                <w:szCs w:val="21"/>
              </w:rPr>
              <w:t>生产流程：</w:t>
            </w:r>
          </w:p>
          <w:p>
            <w:pPr>
              <w:tabs>
                <w:tab w:val="left" w:pos="360"/>
              </w:tabs>
              <w:ind w:left="360" w:hanging="360"/>
              <w:rPr>
                <w:rFonts w:hint="eastAsia" w:ascii="宋体"/>
                <w:color w:val="000000"/>
                <w:szCs w:val="21"/>
              </w:rPr>
            </w:pPr>
            <w:r>
              <w:rPr>
                <w:rFonts w:hint="eastAsia" w:ascii="宋体"/>
                <w:color w:val="000000"/>
                <w:szCs w:val="21"/>
              </w:rPr>
              <w:t>实木：分选-修补-砂光-开槽-油漆-包装</w:t>
            </w:r>
          </w:p>
          <w:p>
            <w:pPr>
              <w:tabs>
                <w:tab w:val="left" w:pos="360"/>
              </w:tabs>
              <w:ind w:left="360" w:hanging="360"/>
              <w:rPr>
                <w:rFonts w:ascii="宋体"/>
                <w:color w:val="000000"/>
                <w:szCs w:val="21"/>
              </w:rPr>
            </w:pPr>
            <w:r>
              <w:rPr>
                <w:rFonts w:hint="eastAsia" w:ascii="宋体"/>
                <w:color w:val="000000"/>
                <w:szCs w:val="21"/>
              </w:rPr>
              <w:t>复合</w:t>
            </w:r>
            <w:r>
              <w:rPr>
                <w:rFonts w:hint="eastAsia" w:ascii="宋体"/>
                <w:color w:val="000000"/>
                <w:szCs w:val="21"/>
                <w:lang w:val="en-US" w:eastAsia="zh-CN"/>
              </w:rPr>
              <w:t>板</w:t>
            </w:r>
            <w:r>
              <w:rPr>
                <w:rFonts w:hint="eastAsia" w:ascii="宋体"/>
                <w:color w:val="000000"/>
                <w:szCs w:val="21"/>
              </w:rPr>
              <w:t>：分片-压贴-修补-砂光-开槽-油漆-包装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b/>
                <w:color w:val="000000"/>
                <w:szCs w:val="21"/>
              </w:rPr>
            </w:pPr>
            <w:r>
              <w:rPr>
                <w:rFonts w:hint="eastAsia" w:ascii="宋体" w:hAnsi="宋体"/>
                <w:b/>
                <w:color w:val="000000"/>
                <w:szCs w:val="21"/>
              </w:rPr>
              <w:t>竹木胶合板的生产</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竹木胶合板的生产及相关管理活动</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竹木胶合板的生产及相关管理活动</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F0A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F0A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无锡市森大竹木业有限公司</w:t>
            </w:r>
            <w:r>
              <w:rPr>
                <w:rFonts w:hint="eastAsia" w:eastAsia="黑体"/>
                <w:szCs w:val="21"/>
                <w:lang w:val="en-US" w:eastAsia="zh-CN"/>
              </w:rPr>
              <w:t>/</w:t>
            </w:r>
            <w:r>
              <w:rPr>
                <w:rFonts w:hint="eastAsia" w:eastAsia="黑体"/>
                <w:szCs w:val="21"/>
                <w:lang w:val="de-DE" w:eastAsia="ja-JP"/>
              </w:rPr>
              <w:t>宜兴市太华镇桥涯村</w:t>
            </w:r>
          </w:p>
        </w:tc>
        <w:tc>
          <w:tcPr>
            <w:tcW w:w="2267" w:type="dxa"/>
          </w:tcPr>
          <w:p>
            <w:pPr>
              <w:spacing w:before="40" w:after="40"/>
              <w:rPr>
                <w:rFonts w:eastAsia="黑体"/>
                <w:szCs w:val="21"/>
                <w:lang w:val="de-DE" w:eastAsia="ja-JP"/>
              </w:rPr>
            </w:pPr>
            <w:r>
              <w:rPr>
                <w:rFonts w:hint="eastAsia" w:eastAsia="黑体"/>
                <w:szCs w:val="21"/>
                <w:lang w:val="de-DE" w:eastAsia="ja-JP"/>
              </w:rPr>
              <w:t>江苏省宜兴市太华镇桥涯村</w:t>
            </w:r>
          </w:p>
        </w:tc>
        <w:tc>
          <w:tcPr>
            <w:tcW w:w="571" w:type="dxa"/>
            <w:vAlign w:val="center"/>
          </w:tcPr>
          <w:p>
            <w:pPr>
              <w:spacing w:before="40" w:after="40"/>
              <w:rPr>
                <w:rFonts w:hint="eastAsia" w:eastAsia="黑体"/>
                <w:szCs w:val="21"/>
              </w:rPr>
            </w:pPr>
            <w:r>
              <w:rPr>
                <w:rFonts w:hint="eastAsia" w:eastAsia="黑体"/>
                <w:szCs w:val="21"/>
              </w:rPr>
              <w:t>6</w:t>
            </w:r>
            <w:r>
              <w:rPr>
                <w:rFonts w:eastAsia="黑体"/>
                <w:szCs w:val="21"/>
              </w:rPr>
              <w:t>0</w:t>
            </w:r>
          </w:p>
        </w:tc>
        <w:tc>
          <w:tcPr>
            <w:tcW w:w="2803" w:type="dxa"/>
            <w:vAlign w:val="center"/>
          </w:tcPr>
          <w:p>
            <w:bookmarkStart w:id="35" w:name="审核范围"/>
            <w:r>
              <w:t>Q：竹木胶合板的生产</w:t>
            </w:r>
          </w:p>
          <w:p>
            <w:r>
              <w:t>E：竹木胶合板的生产所涉及场所的相关环境管理活动</w:t>
            </w:r>
          </w:p>
          <w:p>
            <w:pPr>
              <w:pStyle w:val="19"/>
              <w:rPr>
                <w:rFonts w:hint="eastAsia" w:eastAsia="MS Mincho" w:cs="Arial"/>
                <w:sz w:val="21"/>
                <w:szCs w:val="21"/>
                <w:lang w:val="en-US" w:eastAsia="ja-JP"/>
              </w:rPr>
            </w:pPr>
            <w:r>
              <w:t>O：竹木胶合板的生产所涉及场所的相关职业健康安全管理活动</w:t>
            </w:r>
            <w:bookmarkEnd w:id="35"/>
          </w:p>
        </w:tc>
        <w:tc>
          <w:tcPr>
            <w:tcW w:w="669" w:type="dxa"/>
            <w:vAlign w:val="center"/>
          </w:tcPr>
          <w:p>
            <w:pPr>
              <w:spacing w:before="40" w:after="40"/>
              <w:rPr>
                <w:rFonts w:hint="eastAsia" w:eastAsia="黑体"/>
                <w:szCs w:val="21"/>
                <w:lang w:val="en-US" w:eastAsia="zh-CN"/>
              </w:rPr>
            </w:pPr>
            <w:r>
              <w:rPr>
                <w:rFonts w:hint="eastAsia" w:eastAsia="黑体"/>
                <w:szCs w:val="21"/>
                <w:lang w:val="en-US" w:eastAsia="zh-CN"/>
              </w:rPr>
              <w:t>GB/T9001-2016</w:t>
            </w:r>
          </w:p>
          <w:p>
            <w:pPr>
              <w:spacing w:before="40" w:after="40"/>
              <w:rPr>
                <w:rFonts w:hint="eastAsia" w:eastAsia="黑体"/>
                <w:szCs w:val="21"/>
                <w:lang w:val="en-US" w:eastAsia="zh-CN"/>
              </w:rPr>
            </w:pPr>
            <w:r>
              <w:rPr>
                <w:rFonts w:hint="eastAsia" w:eastAsia="黑体"/>
                <w:szCs w:val="21"/>
                <w:lang w:val="en-US" w:eastAsia="zh-CN"/>
              </w:rPr>
              <w:t>GB/T24001-2016</w:t>
            </w:r>
          </w:p>
          <w:p>
            <w:pPr>
              <w:spacing w:before="40" w:after="40"/>
              <w:rPr>
                <w:rFonts w:hint="default" w:eastAsia="黑体"/>
                <w:szCs w:val="21"/>
                <w:lang w:val="en-US" w:eastAsia="zh-CN"/>
              </w:rPr>
            </w:pPr>
            <w:r>
              <w:rPr>
                <w:rFonts w:hint="eastAsia" w:eastAsia="黑体"/>
                <w:szCs w:val="21"/>
                <w:lang w:val="en-US" w:eastAsia="zh-CN"/>
              </w:rPr>
              <w:t>GB/T45001-2020</w:t>
            </w:r>
          </w:p>
        </w:tc>
        <w:tc>
          <w:tcPr>
            <w:tcW w:w="668" w:type="dxa"/>
            <w:shd w:val="clear" w:color="auto" w:fill="FFFFFF"/>
          </w:tcPr>
          <w:p>
            <w:pPr>
              <w:rPr>
                <w:rFonts w:eastAsia="黑体"/>
                <w:szCs w:val="21"/>
              </w:rPr>
            </w:pPr>
            <w:r>
              <w:rPr>
                <w:rFonts w:eastAsia="黑体"/>
                <w:szCs w:val="21"/>
              </w:rPr>
              <w:sym w:font="Wingdings 2" w:char="0052"/>
            </w:r>
          </w:p>
          <w:p>
            <w:pPr>
              <w:rPr>
                <w:rFonts w:eastAsia="黑体"/>
                <w:szCs w:val="21"/>
              </w:rPr>
            </w:pPr>
          </w:p>
          <w:p>
            <w:pPr>
              <w:rPr>
                <w:rFonts w:eastAsia="黑体"/>
                <w:szCs w:val="21"/>
              </w:rPr>
            </w:pPr>
          </w:p>
          <w:p>
            <w:pPr>
              <w:rPr>
                <w:rFonts w:eastAsia="黑体"/>
                <w:szCs w:val="21"/>
              </w:rPr>
            </w:pPr>
          </w:p>
          <w:p>
            <w:pPr>
              <w:rPr>
                <w:rFonts w:eastAsia="黑体"/>
                <w:szCs w:val="21"/>
              </w:rPr>
            </w:pPr>
            <w:r>
              <w:rPr>
                <w:rFonts w:eastAsia="黑体"/>
                <w:szCs w:val="21"/>
              </w:rPr>
              <w:sym w:font="Wingdings 2" w:char="0052"/>
            </w:r>
          </w:p>
          <w:p>
            <w:pPr>
              <w:rPr>
                <w:rFonts w:eastAsia="黑体"/>
                <w:szCs w:val="21"/>
              </w:rPr>
            </w:pPr>
          </w:p>
          <w:p>
            <w:pPr>
              <w:rPr>
                <w:rFonts w:eastAsia="黑体"/>
                <w:szCs w:val="21"/>
              </w:rPr>
            </w:pPr>
          </w:p>
          <w:p>
            <w:pPr>
              <w:rPr>
                <w:rFonts w:eastAsia="黑体"/>
                <w:szCs w:val="21"/>
              </w:rPr>
            </w:pPr>
          </w:p>
          <w:p>
            <w:pPr>
              <w:rPr>
                <w:rFonts w:eastAsia="黑体"/>
                <w:szCs w:val="21"/>
              </w:rPr>
            </w:pPr>
          </w:p>
          <w:p>
            <w:pPr>
              <w:rPr>
                <w:rFonts w:eastAsia="黑体"/>
                <w:szCs w:val="21"/>
              </w:rPr>
            </w:pPr>
            <w:r>
              <w:rPr>
                <w:rFonts w:eastAsia="黑体"/>
                <w:szCs w:val="21"/>
              </w:rPr>
              <w:sym w:font="Wingdings 2" w:char="0052"/>
            </w:r>
          </w:p>
          <w:p>
            <w:pPr>
              <w:rPr>
                <w:rFonts w:eastAsia="黑体"/>
                <w:szCs w:val="21"/>
              </w:rPr>
            </w:pPr>
          </w:p>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tc>
          <w:tcPr>
            <w:tcW w:w="668" w:type="dxa"/>
            <w:shd w:val="clear" w:color="auto" w:fill="FFFFFF"/>
          </w:tcPr>
          <w:p>
            <w:pPr>
              <w:rPr>
                <w:rFonts w:eastAsia="黑体"/>
                <w:szCs w:val="21"/>
              </w:rPr>
            </w:pP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ascii="Wingdings" w:hAnsi="Wingdings"/>
                <w:color w:val="000000"/>
                <w:sz w:val="21"/>
                <w:szCs w:val="21"/>
              </w:rPr>
              <w:sym w:font="Wingdings 2" w:char="F0A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ascii="Wingdings" w:hAnsi="Wingdings"/>
                <w:color w:val="000000"/>
                <w:sz w:val="21"/>
                <w:szCs w:val="21"/>
              </w:rPr>
              <w:sym w:font="Wingdings 2" w:char="F0A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ascii="Wingdings" w:hAnsi="Wingdings"/>
                <w:color w:val="000000"/>
                <w:sz w:val="21"/>
                <w:szCs w:val="21"/>
              </w:rPr>
              <w:sym w:font="Wingdings 2" w:char="F0A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zCs w:val="21"/>
              </w:rPr>
              <w:sym w:font="Wingdings 2" w:char="F0A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zCs w:val="21"/>
              </w:rPr>
              <w:sym w:font="Wingdings 2" w:char="F0A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zCs w:val="21"/>
              </w:rPr>
              <w:sym w:font="Wingdings 2" w:char="F0A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zCs w:val="21"/>
              </w:rPr>
              <w:sym w:font="Wingdings 2" w:char="F0A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ascii="Wingdings" w:hAnsi="Wingdings"/>
                <w:color w:val="000000"/>
                <w:sz w:val="21"/>
                <w:szCs w:val="21"/>
              </w:rPr>
              <w:sym w:font="Wingdings 2" w:char="F0A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ascii="Wingdings" w:hAnsi="Wingdings"/>
                <w:color w:val="000000"/>
                <w:sz w:val="21"/>
                <w:szCs w:val="21"/>
              </w:rPr>
              <w:sym w:font="Wingdings 2" w:char="F0A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ascii="Wingdings" w:hAnsi="Wingdings"/>
                <w:color w:val="000000"/>
                <w:sz w:val="21"/>
                <w:szCs w:val="21"/>
              </w:rPr>
              <w:sym w:font="Wingdings 2" w:char="F0A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ascii="Wingdings" w:hAnsi="Wingdings"/>
                <w:color w:val="000000"/>
                <w:szCs w:val="21"/>
              </w:rPr>
              <w:sym w:font="Wingdings 2" w:char="F0A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w:t>
            </w:r>
            <w:r>
              <w:rPr>
                <w:rFonts w:ascii="宋体" w:hAnsi="宋体"/>
                <w:b/>
                <w:color w:val="000000"/>
                <w:szCs w:val="21"/>
                <w:u w:val="single"/>
              </w:rPr>
              <w:t>021</w:t>
            </w:r>
            <w:r>
              <w:rPr>
                <w:rFonts w:hint="eastAsia" w:ascii="宋体" w:hAnsi="宋体"/>
                <w:b/>
                <w:color w:val="000000"/>
                <w:szCs w:val="21"/>
                <w:u w:val="single"/>
              </w:rPr>
              <w:t>年0</w:t>
            </w:r>
            <w:r>
              <w:rPr>
                <w:rFonts w:ascii="宋体" w:hAnsi="宋体"/>
                <w:b/>
                <w:color w:val="000000"/>
                <w:szCs w:val="21"/>
                <w:u w:val="single"/>
              </w:rPr>
              <w:t>5</w:t>
            </w:r>
            <w:r>
              <w:rPr>
                <w:rFonts w:hint="eastAsia" w:ascii="宋体" w:hAnsi="宋体"/>
                <w:b/>
                <w:color w:val="000000"/>
                <w:szCs w:val="21"/>
                <w:u w:val="single"/>
              </w:rPr>
              <w:t>月1</w:t>
            </w:r>
            <w:r>
              <w:rPr>
                <w:rFonts w:ascii="宋体" w:hAnsi="宋体"/>
                <w:b/>
                <w:color w:val="000000"/>
                <w:szCs w:val="21"/>
                <w:u w:val="single"/>
              </w:rPr>
              <w:t>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ascii="Wingdings" w:hAnsi="Wingdings"/>
                <w:color w:val="000000"/>
                <w:szCs w:val="21"/>
              </w:rPr>
              <w:sym w:font="Wingdings 2" w:char="F0A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11.已根据策划和标准要求于2</w:t>
            </w:r>
            <w:r>
              <w:rPr>
                <w:rFonts w:ascii="宋体" w:hAnsi="宋体"/>
                <w:b/>
                <w:color w:val="000000"/>
                <w:szCs w:val="21"/>
              </w:rPr>
              <w:t>021</w:t>
            </w:r>
            <w:r>
              <w:rPr>
                <w:rFonts w:hint="eastAsia" w:ascii="宋体" w:hAnsi="宋体"/>
                <w:b/>
                <w:color w:val="000000"/>
                <w:szCs w:val="21"/>
                <w:u w:val="single"/>
              </w:rPr>
              <w:t>年1</w:t>
            </w:r>
            <w:r>
              <w:rPr>
                <w:rFonts w:ascii="宋体" w:hAnsi="宋体"/>
                <w:b/>
                <w:color w:val="000000"/>
                <w:szCs w:val="21"/>
                <w:u w:val="single"/>
              </w:rPr>
              <w:t>1</w:t>
            </w:r>
            <w:r>
              <w:rPr>
                <w:rFonts w:hint="eastAsia" w:ascii="宋体" w:hAnsi="宋体"/>
                <w:b/>
                <w:color w:val="000000"/>
                <w:szCs w:val="21"/>
                <w:u w:val="single"/>
              </w:rPr>
              <w:t>月1</w:t>
            </w:r>
            <w:r>
              <w:rPr>
                <w:rFonts w:ascii="宋体" w:hAnsi="宋体"/>
                <w:b/>
                <w:color w:val="000000"/>
                <w:szCs w:val="21"/>
                <w:u w:val="single"/>
              </w:rPr>
              <w:t>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w:t>
            </w:r>
            <w:r>
              <w:rPr>
                <w:rFonts w:ascii="宋体" w:hAnsi="宋体" w:eastAsia="宋体"/>
                <w:color w:val="000000"/>
                <w:sz w:val="21"/>
                <w:szCs w:val="21"/>
                <w:lang w:val="en-US" w:eastAsia="zh-CN"/>
              </w:rPr>
              <w:t>021</w:t>
            </w:r>
            <w:r>
              <w:rPr>
                <w:rFonts w:hint="eastAsia" w:ascii="宋体" w:hAnsi="宋体" w:eastAsia="宋体"/>
                <w:color w:val="000000"/>
                <w:sz w:val="21"/>
                <w:szCs w:val="21"/>
                <w:u w:val="single"/>
                <w:lang w:val="en-US" w:eastAsia="zh-CN"/>
              </w:rPr>
              <w:t>年1</w:t>
            </w:r>
            <w:r>
              <w:rPr>
                <w:rFonts w:ascii="宋体" w:hAnsi="宋体" w:eastAsia="宋体"/>
                <w:color w:val="000000"/>
                <w:sz w:val="21"/>
                <w:szCs w:val="21"/>
                <w:u w:val="single"/>
                <w:lang w:val="en-US" w:eastAsia="zh-CN"/>
              </w:rPr>
              <w:t>1</w:t>
            </w:r>
            <w:r>
              <w:rPr>
                <w:rFonts w:hint="eastAsia" w:ascii="宋体" w:hAnsi="宋体" w:eastAsia="宋体"/>
                <w:color w:val="000000"/>
                <w:sz w:val="21"/>
                <w:szCs w:val="21"/>
                <w:u w:val="single"/>
                <w:lang w:val="en-US" w:eastAsia="zh-CN"/>
              </w:rPr>
              <w:t>月1</w:t>
            </w:r>
            <w:r>
              <w:rPr>
                <w:rFonts w:ascii="宋体" w:hAnsi="宋体" w:eastAsia="宋体"/>
                <w:color w:val="000000"/>
                <w:sz w:val="21"/>
                <w:szCs w:val="21"/>
                <w:u w:val="single"/>
                <w:lang w:val="en-US" w:eastAsia="zh-CN"/>
              </w:rPr>
              <w:t>8</w:t>
            </w:r>
            <w:r>
              <w:rPr>
                <w:rFonts w:hint="eastAsia" w:ascii="宋体" w:hAnsi="宋体" w:eastAsia="宋体"/>
                <w:color w:val="000000"/>
                <w:sz w:val="21"/>
                <w:szCs w:val="21"/>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）质量管理体系的不适用条款8</w:t>
            </w:r>
            <w:r>
              <w:rPr>
                <w:rFonts w:ascii="宋体" w:hAnsi="宋体"/>
                <w:color w:val="000000"/>
                <w:szCs w:val="21"/>
              </w:rPr>
              <w:t>.3</w:t>
            </w:r>
          </w:p>
        </w:tc>
        <w:tc>
          <w:tcPr>
            <w:tcW w:w="1063" w:type="dxa"/>
            <w:shd w:val="clear" w:color="auto" w:fill="DBEEF3" w:themeFill="accent5" w:themeFillTint="32"/>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color w:val="000000"/>
                <w:szCs w:val="21"/>
              </w:rPr>
            </w:pPr>
            <w:r>
              <w:rPr>
                <w:rFonts w:hint="eastAsia" w:ascii="宋体"/>
                <w:color w:val="000000"/>
                <w:szCs w:val="21"/>
              </w:rPr>
              <w:t>上胶</w:t>
            </w:r>
          </w:p>
        </w:tc>
        <w:tc>
          <w:tcPr>
            <w:tcW w:w="1063" w:type="dxa"/>
            <w:shd w:val="clear" w:color="auto" w:fill="DBEEF3" w:themeFill="accent5" w:themeFillTint="32"/>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涂漆</w:t>
            </w:r>
          </w:p>
        </w:tc>
        <w:tc>
          <w:tcPr>
            <w:tcW w:w="1063" w:type="dxa"/>
            <w:shd w:val="clear" w:color="auto" w:fill="DBEEF3" w:themeFill="accent5" w:themeFillTint="32"/>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固废处置、运输</w:t>
            </w:r>
          </w:p>
        </w:tc>
        <w:tc>
          <w:tcPr>
            <w:tcW w:w="1063" w:type="dxa"/>
            <w:shd w:val="clear" w:color="auto" w:fill="DBEEF3" w:themeFill="accent5" w:themeFillTint="32"/>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ascii="Wingdings" w:hAnsi="Wingdings"/>
                <w:color w:val="000000"/>
                <w:szCs w:val="21"/>
              </w:rPr>
              <w:sym w:font="Wingdings 2" w:char="F0A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ascii="Wingdings" w:hAnsi="Wingdings"/>
                <w:color w:val="000000"/>
                <w:szCs w:val="21"/>
              </w:rPr>
              <w:sym w:font="Wingdings 2" w:char="F0A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ascii="Wingdings" w:hAnsi="Wingdings"/>
                <w:color w:val="000000"/>
                <w:szCs w:val="21"/>
              </w:rPr>
              <w:sym w:font="Wingdings 2" w:char="F0A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ascii="Wingdings" w:hAnsi="Wingdings"/>
                <w:color w:val="000000"/>
                <w:szCs w:val="21"/>
              </w:rPr>
              <w:sym w:font="Wingdings 2" w:char="F0A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hint="eastAsia" w:ascii="宋体" w:hAnsi="宋体"/>
                <w:color w:val="000000"/>
                <w:spacing w:val="-10"/>
                <w:szCs w:val="21"/>
              </w:rPr>
            </w:pPr>
            <w:r>
              <w:rPr>
                <w:rFonts w:ascii="Wingdings" w:hAnsi="Wingdings"/>
                <w:color w:val="000000"/>
                <w:szCs w:val="21"/>
              </w:rPr>
              <w:sym w:font="Wingdings 2" w:char="F0A2"/>
            </w:r>
            <w:r>
              <w:rPr>
                <w:rFonts w:hint="eastAsia" w:ascii="宋体" w:hAnsi="宋体"/>
                <w:color w:val="000000"/>
                <w:spacing w:val="-10"/>
                <w:szCs w:val="21"/>
              </w:rPr>
              <w:t>产品技术标准GB/T 15036.1-2018《实木地板 第1部分：技术要求》</w:t>
            </w:r>
          </w:p>
          <w:p>
            <w:pPr>
              <w:rPr>
                <w:rFonts w:hint="eastAsia" w:ascii="宋体" w:hAnsi="宋体"/>
                <w:color w:val="000000"/>
                <w:spacing w:val="-10"/>
                <w:szCs w:val="21"/>
              </w:rPr>
            </w:pPr>
            <w:r>
              <w:rPr>
                <w:rFonts w:hint="eastAsia" w:ascii="宋体" w:hAnsi="宋体"/>
                <w:color w:val="000000"/>
                <w:spacing w:val="-10"/>
                <w:szCs w:val="21"/>
              </w:rPr>
              <w:t>GB/T 15036.2-2018《实木地板 第2部分：检验方法》</w:t>
            </w:r>
          </w:p>
          <w:p>
            <w:pPr>
              <w:rPr>
                <w:rFonts w:ascii="宋体"/>
                <w:color w:val="000000"/>
                <w:spacing w:val="-10"/>
                <w:szCs w:val="21"/>
              </w:rPr>
            </w:pPr>
            <w:r>
              <w:rPr>
                <w:rFonts w:hint="eastAsia" w:ascii="宋体" w:hAnsi="宋体"/>
                <w:color w:val="000000"/>
                <w:spacing w:val="-10"/>
                <w:szCs w:val="21"/>
              </w:rPr>
              <w:t>GB/T 18103-2013《实木复合地板》</w:t>
            </w:r>
          </w:p>
        </w:tc>
        <w:tc>
          <w:tcPr>
            <w:tcW w:w="1063" w:type="dxa"/>
            <w:shd w:val="clear" w:color="auto" w:fill="DBEEF3" w:themeFill="accent5" w:themeFillTint="32"/>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ascii="Wingdings" w:hAnsi="Wingdings"/>
                <w:color w:val="00000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ascii="Wingdings" w:hAnsi="Wingdings"/>
                <w:color w:val="00000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ascii="Wingdings" w:hAnsi="Wingdings"/>
                <w:color w:val="00000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ascii="Wingdings" w:hAnsi="Wingdings"/>
                <w:color w:val="00000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ascii="Wingdings" w:hAnsi="Wingdings"/>
                <w:color w:val="00000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ascii="Wingdings" w:hAnsi="Wingdings"/>
                <w:color w:val="00000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ascii="Wingdings" w:hAnsi="Wingdings"/>
                <w:color w:val="000000"/>
                <w:szCs w:val="21"/>
              </w:rPr>
              <w:sym w:font="Wingdings 2" w:char="F0A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ascii="Wingdings" w:hAnsi="Wingdings"/>
                <w:color w:val="000000"/>
                <w:szCs w:val="21"/>
              </w:rPr>
              <w:sym w:font="Wingdings 2" w:char="F0A2"/>
            </w:r>
            <w:r>
              <w:rPr>
                <w:rFonts w:hint="eastAsia" w:ascii="宋体" w:hAnsi="宋体"/>
                <w:b/>
                <w:color w:val="000000"/>
                <w:sz w:val="20"/>
                <w:szCs w:val="20"/>
              </w:rPr>
              <w:t>检验、</w:t>
            </w:r>
            <w:r>
              <w:rPr>
                <w:rFonts w:ascii="Wingdings" w:hAnsi="Wingdings"/>
                <w:color w:val="000000"/>
                <w:szCs w:val="21"/>
              </w:rPr>
              <w:sym w:font="Wingdings 2" w:char="F0A2"/>
            </w:r>
            <w:r>
              <w:rPr>
                <w:rFonts w:hint="eastAsia" w:ascii="宋体" w:hAnsi="宋体"/>
                <w:b/>
                <w:color w:val="000000"/>
                <w:sz w:val="20"/>
                <w:szCs w:val="20"/>
              </w:rPr>
              <w:t>采购过程</w:t>
            </w:r>
            <w:r>
              <w:rPr>
                <w:rFonts w:ascii="Wingdings" w:hAnsi="Wingdings"/>
                <w:color w:val="000000"/>
                <w:szCs w:val="21"/>
              </w:rPr>
              <w:sym w:font="Wingdings 2" w:char="F0A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ascii="Wingdings" w:hAnsi="Wingdings"/>
                <w:color w:val="000000"/>
                <w:szCs w:val="21"/>
              </w:rPr>
              <w:sym w:font="Wingdings 2" w:char="F0A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ascii="Wingdings" w:hAnsi="Wingdings"/>
                <w:color w:val="000000"/>
                <w:szCs w:val="21"/>
              </w:rPr>
              <w:sym w:font="Wingdings 2" w:char="F0A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ascii="Wingdings" w:hAnsi="Wingdings"/>
                <w:color w:val="00000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ascii="Wingdings" w:hAnsi="Wingdings"/>
                <w:color w:val="00000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ascii="Wingdings" w:hAnsi="Wingdings"/>
                <w:color w:val="00000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ascii="Wingdings" w:hAnsi="Wingdings"/>
                <w:color w:val="00000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ascii="Wingdings" w:hAnsi="Wingdings"/>
                <w:color w:val="000000"/>
                <w:szCs w:val="21"/>
              </w:rPr>
              <w:sym w:font="Wingdings 2" w:char="F0A2"/>
            </w:r>
            <w:r>
              <w:rPr>
                <w:rFonts w:hint="eastAsia" w:ascii="宋体"/>
                <w:color w:val="000000"/>
                <w:spacing w:val="-10"/>
                <w:szCs w:val="21"/>
              </w:rPr>
              <w:t>环境主管部门、□动力装置场所、</w:t>
            </w:r>
            <w:r>
              <w:rPr>
                <w:rFonts w:ascii="Wingdings" w:hAnsi="Wingdings"/>
                <w:color w:val="000000"/>
                <w:szCs w:val="21"/>
              </w:rPr>
              <w:sym w:font="Wingdings 2" w:char="F0A2"/>
            </w:r>
            <w:r>
              <w:rPr>
                <w:rFonts w:hint="eastAsia" w:ascii="宋体"/>
                <w:color w:val="000000"/>
                <w:spacing w:val="-10"/>
                <w:szCs w:val="21"/>
              </w:rPr>
              <w:t>危险化学品仓库、</w:t>
            </w:r>
            <w:r>
              <w:rPr>
                <w:rFonts w:ascii="Wingdings" w:hAnsi="Wingdings"/>
                <w:color w:val="000000"/>
                <w:szCs w:val="21"/>
              </w:rPr>
              <w:sym w:font="Wingdings 2" w:char="F0A2"/>
            </w:r>
            <w:r>
              <w:rPr>
                <w:rFonts w:hint="eastAsia" w:ascii="宋体"/>
                <w:color w:val="000000"/>
                <w:spacing w:val="-10"/>
                <w:szCs w:val="21"/>
              </w:rPr>
              <w:t>污染物治疗设施、</w:t>
            </w:r>
            <w:r>
              <w:rPr>
                <w:rFonts w:ascii="Wingdings" w:hAnsi="Wingdings"/>
                <w:color w:val="000000"/>
                <w:szCs w:val="21"/>
              </w:rPr>
              <w:sym w:font="Wingdings 2" w:char="F0A2"/>
            </w:r>
            <w:r>
              <w:rPr>
                <w:rFonts w:hint="eastAsia" w:ascii="宋体"/>
                <w:color w:val="000000"/>
                <w:spacing w:val="-10"/>
                <w:szCs w:val="21"/>
              </w:rPr>
              <w:t>危废堆放场所，</w:t>
            </w:r>
            <w:r>
              <w:rPr>
                <w:rFonts w:ascii="Wingdings" w:hAnsi="Wingdings"/>
                <w:color w:val="000000"/>
                <w:szCs w:val="21"/>
              </w:rPr>
              <w:sym w:font="Wingdings 2" w:char="F0A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ascii="Wingdings" w:hAnsi="Wingdings"/>
                <w:color w:val="000000"/>
                <w:szCs w:val="21"/>
              </w:rPr>
              <w:sym w:font="Wingdings 2" w:char="F0A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ascii="Wingdings" w:hAnsi="Wingdings"/>
                <w:color w:val="00000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ascii="Wingdings" w:hAnsi="Wingdings"/>
                <w:color w:val="00000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ascii="Wingdings" w:hAnsi="Wingdings"/>
                <w:color w:val="00000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ascii="Wingdings" w:hAnsi="Wingdings"/>
                <w:color w:val="00000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ascii="Wingdings" w:hAnsi="Wingdings"/>
                <w:color w:val="000000"/>
                <w:szCs w:val="21"/>
              </w:rPr>
              <w:sym w:font="Wingdings 2" w:char="F0A2"/>
            </w:r>
            <w:r>
              <w:rPr>
                <w:rFonts w:hint="eastAsia" w:ascii="宋体"/>
                <w:color w:val="000000"/>
                <w:spacing w:val="-10"/>
                <w:szCs w:val="21"/>
              </w:rPr>
              <w:t>安全和职业健康主管部门、</w:t>
            </w:r>
            <w:r>
              <w:rPr>
                <w:rFonts w:ascii="Wingdings" w:hAnsi="Wingdings"/>
                <w:color w:val="000000"/>
                <w:szCs w:val="21"/>
              </w:rPr>
              <w:sym w:font="Wingdings 2" w:char="F0A2"/>
            </w:r>
            <w:r>
              <w:rPr>
                <w:rFonts w:hint="eastAsia" w:ascii="宋体"/>
                <w:color w:val="000000"/>
                <w:spacing w:val="-10"/>
                <w:szCs w:val="21"/>
              </w:rPr>
              <w:t>职业危害场所、</w:t>
            </w:r>
            <w:r>
              <w:rPr>
                <w:rFonts w:ascii="Wingdings" w:hAnsi="Wingdings"/>
                <w:color w:val="000000"/>
                <w:szCs w:val="21"/>
              </w:rPr>
              <w:sym w:font="Wingdings 2" w:char="F0A2"/>
            </w:r>
            <w:r>
              <w:rPr>
                <w:rFonts w:hint="eastAsia" w:ascii="宋体"/>
                <w:color w:val="000000"/>
                <w:spacing w:val="-10"/>
                <w:szCs w:val="21"/>
              </w:rPr>
              <w:t>高风险作业场所，</w:t>
            </w:r>
            <w:r>
              <w:rPr>
                <w:rFonts w:ascii="Wingdings" w:hAnsi="Wingdings"/>
                <w:color w:val="000000"/>
                <w:szCs w:val="21"/>
              </w:rPr>
              <w:sym w:font="Wingdings 2" w:char="F0A2"/>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ascii="Wingdings" w:hAnsi="Wingdings"/>
                <w:color w:val="000000"/>
                <w:szCs w:val="21"/>
              </w:rPr>
              <w:sym w:font="Wingdings 2" w:char="F0A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ascii="Wingdings" w:hAnsi="Wingdings"/>
                <w:color w:val="000000"/>
                <w:szCs w:val="21"/>
              </w:rPr>
              <w:sym w:font="Wingdings 2" w:char="F0A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6" w:name="二阶段审核日期"/>
            <w:r>
              <w:rPr>
                <w:rFonts w:hint="eastAsia" w:ascii="宋体"/>
                <w:b/>
                <w:color w:val="000000"/>
                <w:szCs w:val="21"/>
              </w:rPr>
              <w:t>2022-01-</w:t>
            </w:r>
            <w:bookmarkEnd w:id="36"/>
            <w:r>
              <w:rPr>
                <w:rFonts w:ascii="宋体"/>
                <w:b/>
                <w:color w:val="000000"/>
                <w:szCs w:val="21"/>
              </w:rPr>
              <w:t>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ascii="Wingdings" w:hAnsi="Wingdings"/>
                <w:color w:val="000000"/>
                <w:szCs w:val="21"/>
              </w:rPr>
              <w:sym w:font="Wingdings 2" w:char="F0A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ascii="Wingdings" w:hAnsi="Wingdings"/>
                <w:color w:val="000000"/>
                <w:szCs w:val="21"/>
              </w:rPr>
              <w:sym w:font="Wingdings 2" w:char="F0A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Wingdings" w:hAnsi="Wingdings"/>
                <w:color w:val="000000"/>
                <w:szCs w:val="21"/>
              </w:rPr>
              <w:sym w:font="Wingdings 2" w:char="F0A2"/>
            </w:r>
            <w:r>
              <w:rPr>
                <w:rFonts w:ascii="宋体" w:hAnsi="宋体"/>
                <w:b/>
                <w:color w:val="000000"/>
                <w:szCs w:val="21"/>
              </w:rPr>
              <w:t>EMS/</w:t>
            </w:r>
            <w:r>
              <w:rPr>
                <w:rFonts w:ascii="Wingdings" w:hAnsi="Wingdings"/>
                <w:color w:val="000000"/>
                <w:szCs w:val="21"/>
              </w:rPr>
              <w:sym w:font="Wingdings 2" w:char="F0A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ascii="Wingdings" w:hAnsi="Wingdings"/>
                <w:color w:val="000000"/>
                <w:szCs w:val="21"/>
              </w:rPr>
              <w:sym w:font="Wingdings 2" w:char="F0A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ascii="Wingdings" w:hAnsi="Wingdings"/>
                <w:color w:val="000000"/>
                <w:szCs w:val="21"/>
              </w:rPr>
              <w:sym w:font="Wingdings 2" w:char="F0A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ascii="Wingdings" w:hAnsi="Wingdings"/>
                <w:color w:val="000000"/>
                <w:szCs w:val="21"/>
              </w:rPr>
              <w:sym w:font="Wingdings 2" w:char="F0A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ascii="Wingdings" w:hAnsi="Wingdings"/>
                <w:color w:val="000000"/>
                <w:szCs w:val="21"/>
              </w:rPr>
              <w:sym w:font="Wingdings 2" w:char="F0A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ascii="Wingdings" w:hAnsi="Wingdings"/>
                <w:color w:val="000000"/>
                <w:szCs w:val="21"/>
              </w:rPr>
              <w:sym w:font="Wingdings 2" w:char="F0A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Wingdings" w:hAnsi="Wingdings"/>
                <w:color w:val="000000"/>
                <w:szCs w:val="21"/>
              </w:rPr>
              <w:sym w:font="Wingdings 2" w:char="F0A2"/>
            </w:r>
            <w:r>
              <w:rPr>
                <w:rFonts w:ascii="宋体" w:hAnsi="宋体"/>
                <w:b/>
                <w:color w:val="000000"/>
                <w:szCs w:val="21"/>
              </w:rPr>
              <w:t>EMS/</w:t>
            </w:r>
            <w:r>
              <w:rPr>
                <w:rFonts w:ascii="Wingdings" w:hAnsi="Wingdings"/>
                <w:color w:val="000000"/>
                <w:szCs w:val="21"/>
              </w:rPr>
              <w:sym w:font="Wingdings 2" w:char="F0A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ascii="Wingdings" w:hAnsi="Wingdings"/>
                <w:color w:val="000000"/>
                <w:szCs w:val="21"/>
              </w:rPr>
              <w:sym w:font="Wingdings 2" w:char="F0A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bookmarkStart w:id="37" w:name="_GoBack"/>
      <w:r>
        <w:rPr>
          <w:rFonts w:ascii="宋体" w:hAnsi="宋体"/>
          <w:b/>
          <w:color w:val="000000"/>
          <w:szCs w:val="21"/>
        </w:rPr>
        <w:drawing>
          <wp:anchor distT="0" distB="0" distL="114300" distR="114300" simplePos="0" relativeHeight="251661312" behindDoc="1" locked="0" layoutInCell="1" allowOverlap="1">
            <wp:simplePos x="0" y="0"/>
            <wp:positionH relativeFrom="column">
              <wp:posOffset>3971290</wp:posOffset>
            </wp:positionH>
            <wp:positionV relativeFrom="paragraph">
              <wp:posOffset>255905</wp:posOffset>
            </wp:positionV>
            <wp:extent cx="869315" cy="470535"/>
            <wp:effectExtent l="0" t="0" r="14605" b="190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6"/>
                    <a:srcRect r="5806"/>
                    <a:stretch>
                      <a:fillRect/>
                    </a:stretch>
                  </pic:blipFill>
                  <pic:spPr>
                    <a:xfrm>
                      <a:off x="0" y="0"/>
                      <a:ext cx="869315" cy="470535"/>
                    </a:xfrm>
                    <a:prstGeom prst="rect">
                      <a:avLst/>
                    </a:prstGeom>
                  </pic:spPr>
                </pic:pic>
              </a:graphicData>
            </a:graphic>
          </wp:anchor>
        </w:drawing>
      </w:r>
      <w:bookmarkEnd w:id="37"/>
      <w:r>
        <w:rPr>
          <w:rFonts w:ascii="宋体" w:hAnsi="宋体"/>
          <w:b/>
          <w:color w:val="000000"/>
          <w:szCs w:val="21"/>
        </w:rPr>
        <w:drawing>
          <wp:anchor distT="0" distB="0" distL="114300" distR="114300" simplePos="0" relativeHeight="251661312" behindDoc="1" locked="0" layoutInCell="1" allowOverlap="1">
            <wp:simplePos x="0" y="0"/>
            <wp:positionH relativeFrom="column">
              <wp:posOffset>1744980</wp:posOffset>
            </wp:positionH>
            <wp:positionV relativeFrom="paragraph">
              <wp:posOffset>163830</wp:posOffset>
            </wp:positionV>
            <wp:extent cx="738505" cy="534035"/>
            <wp:effectExtent l="0" t="0" r="0" b="14605"/>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7"/>
                    <a:stretch>
                      <a:fillRect/>
                    </a:stretch>
                  </pic:blipFill>
                  <pic:spPr>
                    <a:xfrm>
                      <a:off x="0" y="0"/>
                      <a:ext cx="738505" cy="534035"/>
                    </a:xfrm>
                    <a:prstGeom prst="rect">
                      <a:avLst/>
                    </a:prstGeom>
                  </pic:spPr>
                </pic:pic>
              </a:graphicData>
            </a:graphic>
          </wp:anchor>
        </w:drawing>
      </w: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2022-1-8</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top"/>
          </w:tcPr>
          <w:p>
            <w:pPr>
              <w:spacing w:before="40" w:after="40"/>
              <w:rPr>
                <w:rFonts w:hint="eastAsia" w:ascii="宋体" w:hAnsi="宋体" w:eastAsia="宋体" w:cs="Times New Roman"/>
                <w:kern w:val="2"/>
                <w:sz w:val="21"/>
                <w:szCs w:val="24"/>
                <w:lang w:val="en-US" w:eastAsia="zh-CN" w:bidi="ar-SA"/>
              </w:rPr>
            </w:pPr>
            <w:r>
              <w:rPr>
                <w:rFonts w:hint="eastAsia" w:ascii="宋体" w:hAnsi="宋体"/>
                <w:sz w:val="21"/>
                <w:lang w:val="en-US" w:eastAsia="zh-CN"/>
              </w:rPr>
              <w:t>1</w:t>
            </w:r>
          </w:p>
        </w:tc>
        <w:tc>
          <w:tcPr>
            <w:tcW w:w="6191" w:type="dxa"/>
            <w:gridSpan w:val="2"/>
            <w:vAlign w:val="top"/>
          </w:tcPr>
          <w:p>
            <w:pPr>
              <w:spacing w:before="40" w:after="40"/>
              <w:rPr>
                <w:rFonts w:hint="default" w:ascii="宋体" w:hAnsi="宋体" w:eastAsia="宋体" w:cs="Times New Roman"/>
                <w:kern w:val="2"/>
                <w:sz w:val="21"/>
                <w:szCs w:val="24"/>
                <w:lang w:val="en-US" w:eastAsia="zh-CN" w:bidi="ar-SA"/>
              </w:rPr>
            </w:pPr>
            <w:r>
              <w:rPr>
                <w:rFonts w:hint="eastAsia" w:ascii="宋体" w:hAnsi="宋体"/>
                <w:sz w:val="21"/>
                <w:lang w:val="en-US" w:eastAsia="zh-CN"/>
              </w:rPr>
              <w:t>GB/T19001-2016标准的8.3条款内容与职能分配表表述不一致。</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top"/>
          </w:tcPr>
          <w:p>
            <w:pPr>
              <w:spacing w:before="40" w:after="40"/>
              <w:rPr>
                <w:rFonts w:hint="eastAsia" w:ascii="宋体" w:hAnsi="宋体" w:eastAsia="宋体" w:cs="Times New Roman"/>
                <w:kern w:val="2"/>
                <w:sz w:val="21"/>
                <w:szCs w:val="24"/>
                <w:lang w:val="en-US" w:eastAsia="zh-CN" w:bidi="ar-SA"/>
              </w:rPr>
            </w:pPr>
            <w:r>
              <w:rPr>
                <w:rFonts w:hint="eastAsia" w:ascii="宋体" w:hAnsi="宋体"/>
                <w:sz w:val="21"/>
                <w:lang w:val="en-US" w:eastAsia="zh-CN"/>
              </w:rPr>
              <w:t>2</w:t>
            </w:r>
          </w:p>
        </w:tc>
        <w:tc>
          <w:tcPr>
            <w:tcW w:w="6191" w:type="dxa"/>
            <w:gridSpan w:val="2"/>
            <w:vAlign w:val="top"/>
          </w:tcPr>
          <w:p>
            <w:pPr>
              <w:spacing w:before="40" w:after="40"/>
              <w:rPr>
                <w:rFonts w:hint="default" w:ascii="宋体" w:hAnsi="宋体" w:eastAsia="宋体" w:cs="Times New Roman"/>
                <w:kern w:val="2"/>
                <w:sz w:val="21"/>
                <w:szCs w:val="24"/>
                <w:lang w:val="en-US" w:eastAsia="zh-CN" w:bidi="ar-SA"/>
              </w:rPr>
            </w:pPr>
            <w:r>
              <w:rPr>
                <w:rFonts w:hint="eastAsia" w:ascii="宋体" w:hAnsi="宋体"/>
                <w:sz w:val="21"/>
                <w:lang w:val="en-US" w:eastAsia="zh-CN"/>
              </w:rPr>
              <w:t xml:space="preserve">管理手册中未见员工代表任命书； </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top"/>
          </w:tcPr>
          <w:p>
            <w:pPr>
              <w:spacing w:before="40" w:after="40"/>
              <w:rPr>
                <w:rFonts w:hint="eastAsia" w:ascii="宋体" w:hAnsi="宋体" w:eastAsia="宋体" w:cs="Times New Roman"/>
                <w:kern w:val="2"/>
                <w:sz w:val="21"/>
                <w:szCs w:val="24"/>
                <w:lang w:val="en-US" w:eastAsia="zh-CN" w:bidi="ar-SA"/>
              </w:rPr>
            </w:pPr>
            <w:r>
              <w:rPr>
                <w:rFonts w:hint="eastAsia" w:ascii="宋体" w:hAnsi="宋体"/>
                <w:sz w:val="21"/>
                <w:lang w:val="en-US" w:eastAsia="zh-CN"/>
              </w:rPr>
              <w:t>3</w:t>
            </w:r>
          </w:p>
        </w:tc>
        <w:tc>
          <w:tcPr>
            <w:tcW w:w="6191" w:type="dxa"/>
            <w:gridSpan w:val="2"/>
            <w:vAlign w:val="top"/>
          </w:tcPr>
          <w:p>
            <w:pPr>
              <w:spacing w:before="40" w:after="40"/>
              <w:rPr>
                <w:rFonts w:hint="default" w:ascii="宋体" w:hAnsi="宋体" w:eastAsia="宋体" w:cs="Times New Roman"/>
                <w:kern w:val="2"/>
                <w:sz w:val="21"/>
                <w:szCs w:val="24"/>
                <w:lang w:val="en-US" w:eastAsia="zh-CN" w:bidi="ar-SA"/>
              </w:rPr>
            </w:pPr>
            <w:r>
              <w:rPr>
                <w:rFonts w:hint="eastAsia" w:ascii="宋体" w:hAnsi="宋体"/>
                <w:sz w:val="21"/>
                <w:lang w:val="en-US" w:eastAsia="zh-CN"/>
              </w:rPr>
              <w:t>职能分配表各体系部分职能分配不统一，与企业实际情况不符。</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ascii="宋体" w:hAnsi="宋体"/>
                <w:b/>
                <w:color w:val="000000"/>
                <w:szCs w:val="21"/>
              </w:rPr>
              <w:drawing>
                <wp:anchor distT="0" distB="0" distL="114300" distR="114300" simplePos="0" relativeHeight="251663360" behindDoc="1" locked="0" layoutInCell="1" allowOverlap="1">
                  <wp:simplePos x="0" y="0"/>
                  <wp:positionH relativeFrom="column">
                    <wp:posOffset>693420</wp:posOffset>
                  </wp:positionH>
                  <wp:positionV relativeFrom="paragraph">
                    <wp:posOffset>35560</wp:posOffset>
                  </wp:positionV>
                  <wp:extent cx="738505" cy="534035"/>
                  <wp:effectExtent l="0" t="0" r="0" b="14605"/>
                  <wp:wrapNone/>
                  <wp:docPr id="5" name="图片 5"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林兵签名"/>
                          <pic:cNvPicPr>
                            <a:picLocks noChangeAspect="1"/>
                          </pic:cNvPicPr>
                        </pic:nvPicPr>
                        <pic:blipFill>
                          <a:blip r:embed="rId7"/>
                          <a:stretch>
                            <a:fillRect/>
                          </a:stretch>
                        </pic:blipFill>
                        <pic:spPr>
                          <a:xfrm>
                            <a:off x="0" y="0"/>
                            <a:ext cx="738505" cy="534035"/>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文本框 1" o:spid="_x0000_s3073"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6C4F68"/>
    <w:rsid w:val="000C4B7D"/>
    <w:rsid w:val="00641208"/>
    <w:rsid w:val="006C4F68"/>
    <w:rsid w:val="007F5D30"/>
    <w:rsid w:val="00C05550"/>
    <w:rsid w:val="00CB4995"/>
    <w:rsid w:val="00FA56C8"/>
    <w:rsid w:val="38797953"/>
    <w:rsid w:val="42575157"/>
    <w:rsid w:val="4C9D7D02"/>
    <w:rsid w:val="75CE77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1078</Words>
  <Characters>6149</Characters>
  <Lines>51</Lines>
  <Paragraphs>14</Paragraphs>
  <TotalTime>1</TotalTime>
  <ScaleCrop>false</ScaleCrop>
  <LinksUpToDate>false</LinksUpToDate>
  <CharactersWithSpaces>7213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2022-02-15T05:32:18Z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