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西安德杰特石油技术有限公司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设计研发</w:t>
            </w:r>
            <w:r>
              <w:rPr>
                <w:rFonts w:hint="eastAsia"/>
                <w:b/>
                <w:sz w:val="20"/>
                <w:szCs w:val="22"/>
              </w:rPr>
              <w:t>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项目立项—→需求调研/分析—→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成果</w:t>
            </w:r>
            <w:r>
              <w:rPr>
                <w:rFonts w:hint="eastAsia"/>
                <w:b/>
                <w:sz w:val="20"/>
                <w:szCs w:val="22"/>
              </w:rPr>
              <w:t>设计—→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成果</w:t>
            </w:r>
            <w:r>
              <w:rPr>
                <w:rFonts w:hint="eastAsia"/>
                <w:b/>
                <w:sz w:val="20"/>
                <w:szCs w:val="22"/>
              </w:rPr>
              <w:t>测试—→现场支持、客户验收。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签订销售合同—实施采购—送货—检验—交付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关键过程：成果设计。特殊过程：销售服务过程。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井控技术规定Q/SY TH0082-2000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井控设备现场安装及验收规程Q/SY TH0059-2000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井喷的预防及处理工艺规程Q/SY TH0058-2000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井喷压井操作规程Q/SY TH0080-2000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高压油气井钻井过程井控作业规程Q/SY TH0081-2000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钻井工程资料填写验收规程Q/SY TH0070-2000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聚醚酯消泡剂HG/T 5259-2017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活性炭脱硫剂GB7701.1.97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采油用有机胺类水溶性脱硫剂技术规范Q/SY C 17007-2017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长庆油田生产测井及试井仪器刻度标定规范Q/SY CQ 2013-07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研发成果的确认。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r>
        <w:rPr>
          <w:rFonts w:hint="eastAsia" w:ascii="宋体" w:eastAsia="宋体"/>
          <w:b/>
          <w:spacing w:val="-6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-3824605</wp:posOffset>
            </wp:positionV>
            <wp:extent cx="6191250" cy="8909050"/>
            <wp:effectExtent l="0" t="0" r="6350" b="6350"/>
            <wp:wrapNone/>
            <wp:docPr id="1" name="图片 1" descr="扫描全能王 2021-12-20 12.0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0 12.01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90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FB08A2"/>
    <w:rsid w:val="45C04D0F"/>
    <w:rsid w:val="5C8D2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2022-01-03T06:06:49Z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