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安徽江皖机械制造有限公司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17.05.01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会议室（远程）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汪家辉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球墨铸铁井盖及铸件：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型砂配制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-模具-造型-中频熔铁（成分化验）-浇铸-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保温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-开箱-清砂-修整-成品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复合井盖：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打浆（聚乙烯、聚酰胺、191树脂）--捏合（树脂、填料、纤维）--模压成型--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内框架制作（螺纹钢切割、点焊）↗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修整--成品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01" w:hanging="210" w:hangingChars="100"/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</w:rPr>
              <w:t>关键过程有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</w:rPr>
              <w:t>焊接、中频熔铁、模压成型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</w:rPr>
              <w:t xml:space="preserve">需要确认过程 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焊接、中频熔铁、模压成型，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10" w:hangingChars="100"/>
              <w:rPr>
                <w:rFonts w:hint="default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主要控制温度和尺寸，按作业指导书进行操作。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Style w:val="7"/>
                <w:rFonts w:hint="eastAsia" w:ascii="宋体" w:hAnsi="宋体" w:cs="Arial"/>
                <w:b w:val="0"/>
                <w:bCs w:val="0"/>
                <w:color w:val="000000"/>
                <w:sz w:val="21"/>
                <w:szCs w:val="21"/>
              </w:rPr>
              <w:t>中华人民共和国产品质量法</w:t>
            </w:r>
            <w:r>
              <w:rPr>
                <w:rStyle w:val="7"/>
                <w:rFonts w:hint="eastAsia" w:ascii="宋体" w:hAnsi="宋体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中华人民共和国劳动法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井盖原材料进货检验规程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钢纤维井盖工艺文件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球墨铸铁井盖工艺文件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复合井盖工艺文件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中频炉操作规程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外观、尺寸、承载能力的检测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53340</wp:posOffset>
                  </wp:positionV>
                  <wp:extent cx="714375" cy="601980"/>
                  <wp:effectExtent l="0" t="0" r="9525" b="7620"/>
                  <wp:wrapNone/>
                  <wp:docPr id="1" name="图片 1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5715</wp:posOffset>
                  </wp:positionV>
                  <wp:extent cx="714375" cy="601980"/>
                  <wp:effectExtent l="0" t="0" r="9525" b="7620"/>
                  <wp:wrapNone/>
                  <wp:docPr id="3" name="图片 3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896644"/>
    <w:rsid w:val="69EB7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locked/>
    <w:uiPriority w:val="0"/>
    <w:rPr>
      <w:b/>
      <w:bCs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5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2021-12-15T08:10:47Z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