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0617-2019-QEO-2021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04"/>
        <w:gridCol w:w="6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泉州惠安鑫盛隆石业有限公司</w:t>
            </w:r>
            <w:bookmarkEnd w:id="1"/>
          </w:p>
        </w:tc>
        <w:tc>
          <w:tcPr>
            <w:tcW w:w="1304"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42" w:type="dxa"/>
            <w:gridSpan w:val="2"/>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0"/>
              </w:rPr>
            </w:pPr>
          </w:p>
          <w:p>
            <w:pPr>
              <w:snapToGrid w:val="0"/>
              <w:spacing w:line="0" w:lineRule="atLeast"/>
              <w:jc w:val="center"/>
              <w:rPr>
                <w:sz w:val="22"/>
                <w:szCs w:val="22"/>
              </w:rPr>
            </w:pPr>
            <w:r>
              <w:rPr>
                <w:sz w:val="20"/>
              </w:rPr>
              <w:t>0617-2019-QEO-2021</w:t>
            </w:r>
          </w:p>
        </w:tc>
        <w:tc>
          <w:tcPr>
            <w:tcW w:w="1304" w:type="dxa"/>
          </w:tcPr>
          <w:p>
            <w:pPr>
              <w:snapToGrid w:val="0"/>
              <w:spacing w:line="0" w:lineRule="atLeast"/>
              <w:jc w:val="center"/>
              <w:rPr>
                <w:sz w:val="22"/>
                <w:szCs w:val="22"/>
              </w:rPr>
            </w:pPr>
            <w:r>
              <w:rPr>
                <w:rFonts w:hint="eastAsia"/>
                <w:sz w:val="22"/>
                <w:szCs w:val="22"/>
                <w:lang w:val="en-GB"/>
              </w:rPr>
              <w:t>证书号</w:t>
            </w:r>
          </w:p>
        </w:tc>
        <w:tc>
          <w:tcPr>
            <w:tcW w:w="2042" w:type="dxa"/>
            <w:gridSpan w:val="2"/>
          </w:tcPr>
          <w:p>
            <w:pPr>
              <w:snapToGrid w:val="0"/>
              <w:spacing w:line="0" w:lineRule="atLeast"/>
              <w:jc w:val="center"/>
              <w:rPr>
                <w:sz w:val="22"/>
                <w:szCs w:val="22"/>
              </w:rPr>
            </w:pPr>
            <w:bookmarkStart w:id="3" w:name="证书编号"/>
            <w:r>
              <w:rPr>
                <w:sz w:val="22"/>
                <w:szCs w:val="22"/>
              </w:rPr>
              <w:t>Q:ISC-Q-2019-0666</w:t>
            </w:r>
          </w:p>
          <w:p>
            <w:pPr>
              <w:snapToGrid w:val="0"/>
              <w:spacing w:line="0" w:lineRule="atLeast"/>
              <w:jc w:val="center"/>
              <w:rPr>
                <w:sz w:val="22"/>
                <w:szCs w:val="22"/>
              </w:rPr>
            </w:pPr>
            <w:r>
              <w:rPr>
                <w:sz w:val="22"/>
                <w:szCs w:val="22"/>
              </w:rPr>
              <w:t>E:ISC-E-2019-0456O:ISC-O-2019-0417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91350521081644050T</w:t>
            </w:r>
            <w:bookmarkEnd w:id="4"/>
          </w:p>
        </w:tc>
        <w:tc>
          <w:tcPr>
            <w:tcW w:w="1304" w:type="dxa"/>
          </w:tcPr>
          <w:p>
            <w:pPr>
              <w:snapToGrid w:val="0"/>
              <w:spacing w:line="0" w:lineRule="atLeast"/>
              <w:jc w:val="center"/>
              <w:rPr>
                <w:sz w:val="22"/>
                <w:szCs w:val="22"/>
              </w:rPr>
            </w:pPr>
            <w:r>
              <w:rPr>
                <w:rFonts w:hint="eastAsia"/>
                <w:sz w:val="22"/>
                <w:szCs w:val="22"/>
              </w:rPr>
              <w:t>是否带CNAS标志</w:t>
            </w:r>
          </w:p>
        </w:tc>
        <w:tc>
          <w:tcPr>
            <w:tcW w:w="2042" w:type="dxa"/>
            <w:gridSpan w:val="2"/>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04" w:type="dxa"/>
          </w:tcPr>
          <w:p>
            <w:pPr>
              <w:snapToGrid w:val="0"/>
              <w:spacing w:line="0" w:lineRule="atLeast"/>
              <w:jc w:val="center"/>
              <w:rPr>
                <w:sz w:val="22"/>
                <w:szCs w:val="22"/>
              </w:rPr>
            </w:pPr>
            <w:r>
              <w:rPr>
                <w:rFonts w:hint="eastAsia"/>
                <w:sz w:val="22"/>
                <w:szCs w:val="22"/>
              </w:rPr>
              <w:t>企业体系有效人数</w:t>
            </w:r>
          </w:p>
        </w:tc>
        <w:tc>
          <w:tcPr>
            <w:tcW w:w="2042" w:type="dxa"/>
            <w:gridSpan w:val="2"/>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sz w:val="22"/>
                <w:szCs w:val="22"/>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泉州惠安鑫盛隆石业有限公司</w:t>
            </w:r>
            <w:bookmarkEnd w:id="17"/>
          </w:p>
        </w:tc>
        <w:tc>
          <w:tcPr>
            <w:tcW w:w="5013" w:type="dxa"/>
            <w:gridSpan w:val="5"/>
            <w:vMerge w:val="restart"/>
          </w:tcPr>
          <w:p>
            <w:pPr>
              <w:snapToGrid w:val="0"/>
              <w:spacing w:line="0" w:lineRule="atLeast"/>
              <w:jc w:val="left"/>
              <w:rPr>
                <w:sz w:val="22"/>
                <w:szCs w:val="22"/>
              </w:rPr>
            </w:pPr>
            <w:bookmarkStart w:id="18" w:name="审核范围"/>
            <w:r>
              <w:rPr>
                <w:sz w:val="22"/>
                <w:szCs w:val="22"/>
              </w:rPr>
              <w:t>Q：石材制品、石雕工艺品、墓碑的销售（法规强制要求范围除外）</w:t>
            </w:r>
          </w:p>
          <w:p>
            <w:pPr>
              <w:snapToGrid w:val="0"/>
              <w:spacing w:line="0" w:lineRule="atLeast"/>
              <w:jc w:val="left"/>
              <w:rPr>
                <w:sz w:val="22"/>
                <w:szCs w:val="22"/>
              </w:rPr>
            </w:pPr>
            <w:r>
              <w:rPr>
                <w:sz w:val="22"/>
                <w:szCs w:val="22"/>
              </w:rPr>
              <w:t>E：石材制品、石雕工艺品、墓碑的销售（法规强制要求范围除外）及其所涉及的相关环境管理活动。</w:t>
            </w:r>
          </w:p>
          <w:p>
            <w:pPr>
              <w:snapToGrid w:val="0"/>
              <w:spacing w:line="0" w:lineRule="atLeast"/>
              <w:jc w:val="left"/>
              <w:rPr>
                <w:sz w:val="22"/>
                <w:szCs w:val="22"/>
              </w:rPr>
            </w:pPr>
            <w:r>
              <w:rPr>
                <w:sz w:val="22"/>
                <w:szCs w:val="22"/>
              </w:rPr>
              <w:t>O：石材制品、石雕工艺品、墓碑的销售（法规强制要求范围除外）及其所涉及的职业健康安全相关管理活动。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泉州市惠安县涂寨镇曾厝工业区</w:t>
            </w:r>
            <w:bookmarkEnd w:id="19"/>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rPr>
            </w:pPr>
            <w:r>
              <w:rPr>
                <w:rFonts w:hint="eastAsia"/>
                <w:sz w:val="22"/>
                <w:szCs w:val="22"/>
                <w:lang w:val="en-GB"/>
              </w:rPr>
              <w:t>泉州市惠安县东桥镇屿头山村屿头959号</w:t>
            </w:r>
          </w:p>
          <w:p>
            <w:pPr>
              <w:snapToGrid w:val="0"/>
              <w:spacing w:line="0" w:lineRule="atLeast"/>
              <w:jc w:val="left"/>
              <w:rPr>
                <w:sz w:val="22"/>
                <w:szCs w:val="22"/>
              </w:rPr>
            </w:pPr>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Quanzhou Hui 'an Xin sheng long Stone Industry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eastAsia"/>
                <w:sz w:val="22"/>
                <w:szCs w:val="22"/>
              </w:rPr>
              <w:t>Sales of stone products, stone carving handicrafts and tombstones (except the scope of compulsory requirements by laws and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r>
              <w:rPr>
                <w:rFonts w:hint="eastAsia"/>
                <w:sz w:val="21"/>
                <w:szCs w:val="16"/>
              </w:rPr>
              <w:t>Sales of stone products, stone carving handicrafts and tombstones (except the scope of compulsory requirements by laws and regulations)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Quanzhou Huian County Tuizhai Town Zeng Cuo industrial zone</w:t>
            </w:r>
          </w:p>
        </w:tc>
        <w:tc>
          <w:tcPr>
            <w:tcW w:w="1337" w:type="dxa"/>
          </w:tcPr>
          <w:p>
            <w:pPr>
              <w:snapToGrid w:val="0"/>
              <w:spacing w:line="0" w:lineRule="atLeast"/>
              <w:jc w:val="left"/>
              <w:rPr>
                <w:rFonts w:hint="eastAsia"/>
                <w:sz w:val="22"/>
                <w:szCs w:val="22"/>
              </w:rPr>
            </w:pPr>
            <w:r>
              <w:rPr>
                <w:rFonts w:hint="eastAsia"/>
                <w:sz w:val="22"/>
                <w:szCs w:val="22"/>
              </w:rPr>
              <w:t>OHSMS</w:t>
            </w:r>
          </w:p>
        </w:tc>
        <w:tc>
          <w:tcPr>
            <w:tcW w:w="3676" w:type="dxa"/>
            <w:gridSpan w:val="4"/>
          </w:tcPr>
          <w:p>
            <w:pPr>
              <w:snapToGrid w:val="0"/>
              <w:spacing w:line="0" w:lineRule="atLeast"/>
              <w:jc w:val="left"/>
              <w:rPr>
                <w:rFonts w:hint="eastAsia"/>
                <w:sz w:val="22"/>
                <w:szCs w:val="22"/>
              </w:rPr>
            </w:pPr>
            <w:r>
              <w:rPr>
                <w:rFonts w:hint="eastAsia"/>
                <w:sz w:val="22"/>
                <w:szCs w:val="22"/>
              </w:rPr>
              <w:t>Sales of stone products, stone carving handicrafts and tombstones (except the scope of compulsory requirements by laws and regulations)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2971" w:type="dxa"/>
            <w:gridSpan w:val="3"/>
          </w:tcPr>
          <w:p>
            <w:pPr>
              <w:snapToGrid w:val="0"/>
              <w:spacing w:line="0" w:lineRule="atLeast"/>
              <w:jc w:val="left"/>
              <w:rPr>
                <w:sz w:val="22"/>
                <w:szCs w:val="22"/>
              </w:rPr>
            </w:pPr>
            <w:bookmarkStart w:id="23" w:name="_GoBack"/>
            <w:r>
              <w:drawing>
                <wp:anchor distT="0" distB="0" distL="114300" distR="114300" simplePos="0" relativeHeight="251659264" behindDoc="0" locked="0" layoutInCell="1" allowOverlap="1">
                  <wp:simplePos x="0" y="0"/>
                  <wp:positionH relativeFrom="column">
                    <wp:posOffset>-3380740</wp:posOffset>
                  </wp:positionH>
                  <wp:positionV relativeFrom="paragraph">
                    <wp:posOffset>-73660</wp:posOffset>
                  </wp:positionV>
                  <wp:extent cx="6619875" cy="626745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619875" cy="6267450"/>
                          </a:xfrm>
                          <a:prstGeom prst="rect">
                            <a:avLst/>
                          </a:prstGeom>
                          <a:noFill/>
                          <a:ln>
                            <a:noFill/>
                          </a:ln>
                        </pic:spPr>
                      </pic:pic>
                    </a:graphicData>
                  </a:graphic>
                </wp:anchor>
              </w:drawing>
            </w:r>
            <w:bookmarkEnd w:id="23"/>
            <w:r>
              <w:rPr>
                <w:rFonts w:hint="eastAsia"/>
                <w:sz w:val="22"/>
                <w:szCs w:val="22"/>
              </w:rPr>
              <w:t>EnMS</w:t>
            </w:r>
          </w:p>
        </w:tc>
        <w:tc>
          <w:tcPr>
            <w:tcW w:w="204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959, Yutou Mountain Village, Dongqiao Town, Hui 'an County, Quanzhou City</w:t>
            </w:r>
          </w:p>
        </w:tc>
        <w:tc>
          <w:tcPr>
            <w:tcW w:w="2971" w:type="dxa"/>
            <w:gridSpan w:val="3"/>
          </w:tcPr>
          <w:p>
            <w:pPr>
              <w:snapToGrid w:val="0"/>
              <w:spacing w:line="0" w:lineRule="atLeast"/>
              <w:jc w:val="left"/>
              <w:rPr>
                <w:sz w:val="22"/>
                <w:szCs w:val="22"/>
              </w:rPr>
            </w:pPr>
            <w:r>
              <w:rPr>
                <w:rFonts w:hint="eastAsia"/>
                <w:sz w:val="22"/>
                <w:szCs w:val="22"/>
              </w:rPr>
              <w:t>FSMS</w:t>
            </w:r>
          </w:p>
        </w:tc>
        <w:tc>
          <w:tcPr>
            <w:tcW w:w="204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2971" w:type="dxa"/>
            <w:gridSpan w:val="3"/>
          </w:tcPr>
          <w:p>
            <w:pPr>
              <w:snapToGrid w:val="0"/>
              <w:spacing w:line="0" w:lineRule="atLeast"/>
              <w:jc w:val="left"/>
              <w:rPr>
                <w:sz w:val="22"/>
                <w:szCs w:val="22"/>
              </w:rPr>
            </w:pPr>
            <w:r>
              <w:rPr>
                <w:rFonts w:hint="eastAsia"/>
                <w:sz w:val="22"/>
                <w:szCs w:val="22"/>
              </w:rPr>
              <w:t>HACCP</w:t>
            </w:r>
          </w:p>
        </w:tc>
        <w:tc>
          <w:tcPr>
            <w:tcW w:w="204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gridSpan w:val="2"/>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泉州惠安鑫盛隆石业有限公司</w:t>
      </w:r>
      <w:bookmarkEnd w:id="20"/>
      <w:r>
        <w:rPr>
          <w:rFonts w:hint="eastAsia"/>
          <w:b/>
          <w:color w:val="000000" w:themeColor="text1"/>
          <w:sz w:val="22"/>
          <w:szCs w:val="22"/>
        </w:rPr>
        <w:t>证书注册号：</w:t>
      </w:r>
      <w:bookmarkStart w:id="21" w:name="证书编号Add1"/>
      <w:r>
        <w:rPr>
          <w:b/>
          <w:color w:val="000000" w:themeColor="text1"/>
          <w:sz w:val="22"/>
          <w:szCs w:val="22"/>
        </w:rPr>
        <w:t>Q:ISC-Q-2019-0666,E:ISC-E-2019-0456,O:ISC-O-2019-0417</w:t>
      </w:r>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泉州市惠安县东桥镇屿头山村屿头959号</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C158A7"/>
    <w:rsid w:val="0EAA4EB7"/>
    <w:rsid w:val="15AC6EC0"/>
    <w:rsid w:val="176D0D9F"/>
    <w:rsid w:val="27BB5E5F"/>
    <w:rsid w:val="29F179E6"/>
    <w:rsid w:val="3B541315"/>
    <w:rsid w:val="405C133B"/>
    <w:rsid w:val="463D7DE3"/>
    <w:rsid w:val="53C71634"/>
    <w:rsid w:val="6CC600CD"/>
    <w:rsid w:val="6F114567"/>
    <w:rsid w:val="7C2D3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付正</cp:lastModifiedBy>
  <cp:lastPrinted>2019-05-13T03:13:00Z</cp:lastPrinted>
  <dcterms:modified xsi:type="dcterms:W3CDTF">2021-12-19T15:08:49Z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