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253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泉州惠安鑫盛隆石业有限公司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111125</wp:posOffset>
                  </wp:positionV>
                  <wp:extent cx="1064260" cy="407035"/>
                  <wp:effectExtent l="0" t="0" r="2540" b="12065"/>
                  <wp:wrapNone/>
                  <wp:docPr id="4" name="图片 2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21080" cy="233045"/>
                  <wp:effectExtent l="0" t="0" r="7620" b="14605"/>
                  <wp:docPr id="3" name="图片 3" descr="cda47da047b4617d21a0dc96a71c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da47da047b4617d21a0dc96a71c3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410" w:lineRule="exact"/>
              <w:rPr>
                <w:rFonts w:hint="default" w:ascii="Arial" w:hAnsi="Arial" w:eastAsia="宋体" w:cs="Arial"/>
                <w:b w:val="0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1"/>
                <w:szCs w:val="21"/>
                <w:u w:val="none"/>
                <w:lang w:val="en-US" w:eastAsia="zh-CN"/>
              </w:rPr>
              <w:t>销售服务流程：</w:t>
            </w:r>
          </w:p>
          <w:p>
            <w:pPr>
              <w:snapToGrid w:val="0"/>
              <w:spacing w:line="410" w:lineRule="exact"/>
              <w:rPr>
                <w:b/>
                <w:sz w:val="20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1"/>
                <w:szCs w:val="21"/>
                <w:u w:val="none"/>
                <w:lang w:val="en-US" w:eastAsia="zh-CN"/>
              </w:rPr>
              <w:t>开发客户—客户沟通—联系供方—询价—客户确认—下订单—跟踪—交货—对帐收款—售后服务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410" w:lineRule="exact"/>
              <w:rPr>
                <w:b/>
                <w:sz w:val="20"/>
              </w:rPr>
            </w:pPr>
            <w:r>
              <w:rPr>
                <w:rFonts w:hint="eastAsia" w:ascii="Arial" w:hAnsi="Arial" w:cs="Arial"/>
                <w:b w:val="0"/>
                <w:bCs/>
                <w:sz w:val="21"/>
                <w:szCs w:val="21"/>
              </w:rPr>
              <w:t>销售的关键过程为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u w:val="single"/>
              </w:rPr>
              <w:t>销售服务过程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u w:val="single"/>
                <w:lang w:eastAsia="zh-CN"/>
              </w:rPr>
              <w:t>，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执行销售管理程序，对该过程人员能力、工作规范、服务态度及工作环境等方面进行确认，日常对人员进行培训教育、监督和管理。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重要环境因素：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固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体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废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弃物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排放、火灾。</w:t>
            </w:r>
          </w:p>
          <w:p>
            <w:pPr>
              <w:spacing w:line="280" w:lineRule="exact"/>
              <w:rPr>
                <w:rFonts w:hint="default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控制措施：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运行控制固废分类管理分类处理；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配备消防器材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禁烟火；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日常检查、日常培训教育、应急演练等运行控制措施等。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80" w:lineRule="exact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cs="宋体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不可接受危险源：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触电伤害、火灾、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意外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伤害、中署</w:t>
            </w:r>
          </w:p>
          <w:p>
            <w:pPr>
              <w:spacing w:line="280" w:lineRule="exact"/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涉及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电器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使用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不当造成触电，搬运货物造成的砸伤，吸烟乱扔烟头导致火灾，上下班途中交通危险，电器短路或使用时间过长散热不良，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周边疫情风险控制、避免高温作业等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主要控制措施：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危险源控制执行管理方案、配备消防器材、日常检查、日常培训教育、应急演练等运行控制措施等。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9" w:name="_GoBack"/>
            <w:bookmarkEnd w:id="9"/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《中华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人民共和国环境保护法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《中华人民共和国消防法》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人民共和国固体废物污染环境防治法》《福建省火灾高危单位消防安全管理规定》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《福建省环境保护条例》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中华人民共和国传染病防治法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用电安全导则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劳动防护用品管理规定》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Theme="minorEastAsia"/>
                <w:b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产品标准：同下栏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检验和试验项目及要求参考以下标准并按客户要求执行：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4291330" cy="997585"/>
                  <wp:effectExtent l="0" t="0" r="13970" b="1206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330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232410</wp:posOffset>
                  </wp:positionV>
                  <wp:extent cx="1064260" cy="407035"/>
                  <wp:effectExtent l="0" t="0" r="2540" b="12065"/>
                  <wp:wrapNone/>
                  <wp:docPr id="5" name="图片 2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2021.12.12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152400</wp:posOffset>
                  </wp:positionV>
                  <wp:extent cx="1064260" cy="407035"/>
                  <wp:effectExtent l="0" t="0" r="2540" b="12065"/>
                  <wp:wrapNone/>
                  <wp:docPr id="6" name="图片 2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2021.12.12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5720DB9"/>
    <w:rsid w:val="1F3E3958"/>
    <w:rsid w:val="23656B6C"/>
    <w:rsid w:val="28F8058C"/>
    <w:rsid w:val="2C8169CA"/>
    <w:rsid w:val="2E613F67"/>
    <w:rsid w:val="39637D06"/>
    <w:rsid w:val="47F162C8"/>
    <w:rsid w:val="4AD66DCF"/>
    <w:rsid w:val="4F684B19"/>
    <w:rsid w:val="577333C1"/>
    <w:rsid w:val="58DE7204"/>
    <w:rsid w:val="59DF1FCA"/>
    <w:rsid w:val="61343CED"/>
    <w:rsid w:val="6C8D3C1B"/>
    <w:rsid w:val="6CBC4C38"/>
    <w:rsid w:val="74172B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25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2021-12-20T05:34:52Z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