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泉州惠安鑫盛隆石业有限公司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泉州市惠安县涂寨镇曾厝工业区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泉州市惠安县东桥镇屿头山村屿头959号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林森泉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15059501068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79292364@qq.com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0617-2019-QEO-2021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Q：石材制品、石雕工艺品、墓碑的销售（法规强制要求范围除外）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E：石材制品、石雕工艺品、墓碑的销售（法规强制要求范围除外）及其所涉及的相关环境管理活动。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O：石材制品、石雕工艺品、墓碑的销售（法规强制要求范围除外）及其所涉及的职业健康安全相关管理活动。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远程审核于2021年12月13日 上午至2021年12月15日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2021-N0EMS-1082241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2021-N0OHSMS-1082241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33020</wp:posOffset>
                  </wp:positionV>
                  <wp:extent cx="814705" cy="270510"/>
                  <wp:effectExtent l="0" t="0" r="4445" b="15240"/>
                  <wp:wrapNone/>
                  <wp:docPr id="1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2021.12.09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2021.12.09</w:t>
            </w:r>
          </w:p>
        </w:tc>
      </w:tr>
    </w:tbl>
    <w:p/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3"/>
        <w:gridCol w:w="988"/>
        <w:gridCol w:w="550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07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907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(12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管理层、员工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代表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pacing w:val="-6"/>
                <w:sz w:val="21"/>
                <w:szCs w:val="21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ind w:firstLine="396" w:firstLineChars="20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</w:tc>
        <w:tc>
          <w:tcPr>
            <w:tcW w:w="907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QEO）</w:t>
            </w:r>
          </w:p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271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(12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午餐）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vAlign w:val="top"/>
          </w:tcPr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8" w:type="dxa"/>
            <w:vAlign w:val="top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5.3组织的岗位、职责和权限、6.2质量目标、8.1运行策划和控制、8.2产品和服务的要求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8.3服务的设计和开发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删减确认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、8.4外部提供过程、产品和服务的控制、8.5.1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和服务提供的控制、8.5.2标识和可追溯性、8.5.3顾客或外部供方的财产、8.5.4防护、8.5.5交付后的活动、8.5.6更改控制、8.6产品和服务的放行、8.7不合格输出的控制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9.1.2顾客满意；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07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QEO）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(12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 5.3组织的岗位、职责和权限、6.2质量目标及其实现策划、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.1.5监视和测量资源、7.2能力、9.1.1监视、测量、分析和评价总则、9.1.3分析与评价、9.2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10.2不合格和纠正措施； 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 9.1监视、测量、分析和评价（9.1.1总则、9.1.2合规性评价）、9.2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</w:tc>
        <w:tc>
          <w:tcPr>
            <w:tcW w:w="907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QEO）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议</w:t>
            </w:r>
            <w:r>
              <w:rPr>
                <w:rFonts w:hint="eastAsia" w:ascii="宋体" w:hAnsi="宋体" w:cs="Arial"/>
                <w:sz w:val="21"/>
                <w:szCs w:val="21"/>
              </w:rPr>
              <w:t>：综合评价QMS\EMS\OHSMS管理体系运行总体情况及改进要求，宣告审核发现及审核结论。</w:t>
            </w:r>
          </w:p>
        </w:tc>
        <w:tc>
          <w:tcPr>
            <w:tcW w:w="907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F1166"/>
    <w:rsid w:val="1C79676B"/>
    <w:rsid w:val="276E6CF9"/>
    <w:rsid w:val="29BD78C7"/>
    <w:rsid w:val="3319402D"/>
    <w:rsid w:val="335741E9"/>
    <w:rsid w:val="45D97854"/>
    <w:rsid w:val="461A5D78"/>
    <w:rsid w:val="4D0D0D29"/>
    <w:rsid w:val="57D53433"/>
    <w:rsid w:val="61592037"/>
    <w:rsid w:val="703E5A47"/>
    <w:rsid w:val="79C81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2021-12-15T01:30:13Z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