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1274-2021-Q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青岛钢垚再生资源集团有限公司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青岛钢垚再生资源集团有限公司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山东省青岛市黄岛区珠海街道办事处东新村村北</w:t>
            </w:r>
            <w:bookmarkEnd w:id="6"/>
          </w:p>
        </w:tc>
        <w:tc>
          <w:tcPr>
            <w:tcW w:w="1242" w:type="dxa"/>
            <w:vMerge w:val="restart"/>
            <w:vAlign w:val="center"/>
          </w:tcPr>
          <w:p>
            <w:r>
              <w:rPr>
                <w:rFonts w:hint="eastAsia"/>
              </w:rPr>
              <w:t>邮编</w:t>
            </w:r>
          </w:p>
        </w:tc>
        <w:tc>
          <w:tcPr>
            <w:tcW w:w="1771" w:type="dxa"/>
          </w:tcPr>
          <w:p>
            <w:bookmarkStart w:id="7" w:name="注册邮编"/>
            <w:r>
              <w:t>266400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山东省青岛市黄岛区珠海街道办事处东新村村北</w:t>
            </w:r>
            <w:bookmarkEnd w:id="8"/>
          </w:p>
        </w:tc>
        <w:tc>
          <w:tcPr>
            <w:tcW w:w="1242" w:type="dxa"/>
            <w:vMerge w:val="continue"/>
            <w:vAlign w:val="center"/>
          </w:tcPr>
          <w:p/>
        </w:tc>
        <w:tc>
          <w:tcPr>
            <w:tcW w:w="1771" w:type="dxa"/>
          </w:tcPr>
          <w:p>
            <w:bookmarkStart w:id="9" w:name="办公邮编"/>
            <w:r>
              <w:t>266400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邢金辉</w:t>
            </w:r>
            <w:bookmarkEnd w:id="10"/>
          </w:p>
        </w:tc>
        <w:tc>
          <w:tcPr>
            <w:tcW w:w="1313" w:type="dxa"/>
            <w:vAlign w:val="center"/>
          </w:tcPr>
          <w:p>
            <w:r>
              <w:rPr>
                <w:rFonts w:hint="eastAsia"/>
              </w:rPr>
              <w:t>电话.</w:t>
            </w:r>
          </w:p>
        </w:tc>
        <w:tc>
          <w:tcPr>
            <w:tcW w:w="2180" w:type="dxa"/>
            <w:vAlign w:val="center"/>
          </w:tcPr>
          <w:p>
            <w:bookmarkStart w:id="11" w:name="联系人电话"/>
            <w:r>
              <w:t>053285163300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邢金杰</w:t>
            </w:r>
            <w:bookmarkEnd w:id="13"/>
          </w:p>
        </w:tc>
        <w:tc>
          <w:tcPr>
            <w:tcW w:w="1313" w:type="dxa"/>
            <w:vAlign w:val="center"/>
          </w:tcPr>
          <w:p>
            <w:r>
              <w:rPr>
                <w:rFonts w:hint="eastAsia"/>
              </w:rPr>
              <w:t>管理者代表</w:t>
            </w:r>
          </w:p>
        </w:tc>
        <w:tc>
          <w:tcPr>
            <w:tcW w:w="2180" w:type="dxa"/>
          </w:tcPr>
          <w:p>
            <w:bookmarkStart w:id="14" w:name="管理者代表"/>
            <w:r>
              <w:t>邢金辉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229100" cy="2690495"/>
                  <wp:effectExtent l="0" t="0" r="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29100" cy="269049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2021年12月11日 下午至2021年12月12日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en-US" w:eastAsia="zh-CN"/>
              </w:rPr>
              <w:t xml:space="preserve">  </w:t>
            </w:r>
            <w:r>
              <w:rPr>
                <w:rFonts w:hint="eastAsia"/>
                <w:lang w:val="de-DE"/>
              </w:rPr>
              <w:t>■</w:t>
            </w:r>
            <w:r>
              <w:rPr>
                <w:rFonts w:hint="eastAsia"/>
              </w:rPr>
              <w:t>顾客要求</w:t>
            </w:r>
          </w:p>
          <w:p>
            <w:r>
              <w:rPr>
                <w:rFonts w:hint="eastAsia"/>
                <w:lang w:val="de-DE"/>
              </w:rPr>
              <w:t>■适用于受审核方的法律法规及其他要求</w:t>
            </w:r>
            <w:r>
              <w:rPr>
                <w:rFonts w:hint="eastAsia"/>
                <w:lang w:val="en-US" w:eastAsia="zh-CN"/>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建筑废弃物资源化综合再利用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01"/>
        <w:gridCol w:w="10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01" w:type="dxa"/>
            <w:shd w:val="clear" w:color="auto" w:fill="F3F3F3"/>
            <w:tcMar>
              <w:left w:w="57" w:type="dxa"/>
              <w:right w:w="57" w:type="dxa"/>
            </w:tcMar>
          </w:tcPr>
          <w:p>
            <w:r>
              <w:rPr>
                <w:rFonts w:hint="eastAsia"/>
              </w:rPr>
              <w:t>审核范围（产品和过程）</w:t>
            </w:r>
          </w:p>
          <w:p/>
          <w:p/>
        </w:tc>
        <w:tc>
          <w:tcPr>
            <w:tcW w:w="10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青岛钢垚再生资源集团有限公司</w:t>
            </w:r>
          </w:p>
          <w:p>
            <w:pPr>
              <w:pStyle w:val="2"/>
              <w:rPr>
                <w:lang w:val="de-DE" w:eastAsia="ja-JP"/>
              </w:rPr>
            </w:pPr>
            <w:r>
              <w:t>山东省青岛市黄岛区珠海街道办事处东新村村北</w:t>
            </w:r>
          </w:p>
        </w:tc>
        <w:tc>
          <w:tcPr>
            <w:tcW w:w="2267" w:type="dxa"/>
          </w:tcPr>
          <w:p>
            <w:pPr>
              <w:rPr>
                <w:lang w:val="de-DE" w:eastAsia="ja-JP"/>
              </w:rPr>
            </w:pPr>
            <w:r>
              <w:t>山东省青岛市黄岛区珠海街道办事处东新村村北</w:t>
            </w:r>
          </w:p>
        </w:tc>
        <w:tc>
          <w:tcPr>
            <w:tcW w:w="571" w:type="dxa"/>
            <w:vAlign w:val="center"/>
          </w:tcPr>
          <w:p>
            <w:pPr>
              <w:rPr>
                <w:rFonts w:hint="default" w:eastAsia="宋体"/>
                <w:lang w:val="en-US" w:eastAsia="zh-CN"/>
              </w:rPr>
            </w:pPr>
            <w:r>
              <w:rPr>
                <w:rFonts w:hint="eastAsia"/>
                <w:lang w:val="en-US" w:eastAsia="zh-CN"/>
              </w:rPr>
              <w:t>13</w:t>
            </w:r>
          </w:p>
        </w:tc>
        <w:tc>
          <w:tcPr>
            <w:tcW w:w="2401" w:type="dxa"/>
            <w:vAlign w:val="center"/>
          </w:tcPr>
          <w:p>
            <w:pPr>
              <w:rPr>
                <w:lang w:eastAsia="ja-JP"/>
              </w:rPr>
            </w:pPr>
            <w:r>
              <w:t>建筑废弃物资源化综合再利用</w:t>
            </w:r>
          </w:p>
        </w:tc>
        <w:tc>
          <w:tcPr>
            <w:tcW w:w="1071" w:type="dxa"/>
            <w:vAlign w:val="center"/>
          </w:tcPr>
          <w:p>
            <w:pPr>
              <w:rPr>
                <w:lang w:eastAsia="ja-JP"/>
              </w:rPr>
            </w:pPr>
            <w:r>
              <w:rPr>
                <w:rFonts w:hint="eastAsia"/>
                <w:lang w:val="de-DE"/>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01" w:type="dxa"/>
            <w:vAlign w:val="center"/>
          </w:tcPr>
          <w:p>
            <w:pPr>
              <w:rPr>
                <w:lang w:eastAsia="ja-JP"/>
              </w:rPr>
            </w:pPr>
          </w:p>
        </w:tc>
        <w:tc>
          <w:tcPr>
            <w:tcW w:w="1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01" w:type="dxa"/>
            <w:vAlign w:val="center"/>
          </w:tcPr>
          <w:p>
            <w:pPr>
              <w:rPr>
                <w:lang w:eastAsia="ja-JP"/>
              </w:rPr>
            </w:pPr>
          </w:p>
        </w:tc>
        <w:tc>
          <w:tcPr>
            <w:tcW w:w="1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01" w:type="dxa"/>
            <w:vAlign w:val="center"/>
          </w:tcPr>
          <w:p>
            <w:pPr>
              <w:rPr>
                <w:lang w:eastAsia="ja-JP"/>
              </w:rPr>
            </w:pPr>
          </w:p>
        </w:tc>
        <w:tc>
          <w:tcPr>
            <w:tcW w:w="1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01" w:type="dxa"/>
            <w:vAlign w:val="center"/>
          </w:tcPr>
          <w:p>
            <w:pPr>
              <w:rPr>
                <w:lang w:eastAsia="ja-JP"/>
              </w:rPr>
            </w:pPr>
          </w:p>
        </w:tc>
        <w:tc>
          <w:tcPr>
            <w:tcW w:w="10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刘思顺</w:t>
            </w:r>
          </w:p>
        </w:tc>
        <w:tc>
          <w:tcPr>
            <w:tcW w:w="1089" w:type="dxa"/>
            <w:vAlign w:val="center"/>
          </w:tcPr>
          <w:p>
            <w:r>
              <w:t>组员</w:t>
            </w:r>
          </w:p>
        </w:tc>
        <w:tc>
          <w:tcPr>
            <w:tcW w:w="711" w:type="dxa"/>
            <w:vAlign w:val="center"/>
          </w:tcPr>
          <w:p>
            <w:r>
              <w:t>男</w:t>
            </w:r>
          </w:p>
        </w:tc>
        <w:tc>
          <w:tcPr>
            <w:tcW w:w="3870" w:type="dxa"/>
            <w:vAlign w:val="center"/>
          </w:tcPr>
          <w:p>
            <w:r>
              <w:t>ISC-JSZJ-448</w:t>
            </w:r>
          </w:p>
          <w:p>
            <w:r>
              <w:t>青岛昌佳机械有限公司</w:t>
            </w:r>
          </w:p>
        </w:tc>
        <w:tc>
          <w:tcPr>
            <w:tcW w:w="2179" w:type="dxa"/>
            <w:vAlign w:val="center"/>
          </w:tcPr>
          <w:p>
            <w: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t>建筑废弃物资源化综合再利用</w:t>
            </w:r>
            <w:r>
              <w:rPr>
                <w:rFonts w:hint="eastAsia"/>
                <w:lang w:eastAsia="zh-CN"/>
              </w:rPr>
              <w:t>（</w:t>
            </w:r>
            <w:r>
              <w:rPr>
                <w:rFonts w:hint="eastAsia"/>
                <w:lang w:val="en-US" w:eastAsia="zh-CN"/>
              </w:rPr>
              <w:t>除生产性废旧金属</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bl>
    <w:p>
      <w:pPr>
        <w:pStyle w:val="2"/>
      </w:pPr>
      <w:bookmarkStart w:id="31" w:name="_GoBack"/>
      <w:r>
        <w:rPr>
          <w:rFonts w:hint="eastAsia"/>
        </w:rPr>
        <w:drawing>
          <wp:anchor distT="0" distB="0" distL="114300" distR="114300" simplePos="0" relativeHeight="251661312" behindDoc="0" locked="0" layoutInCell="1" allowOverlap="1">
            <wp:simplePos x="0" y="0"/>
            <wp:positionH relativeFrom="column">
              <wp:posOffset>-166370</wp:posOffset>
            </wp:positionH>
            <wp:positionV relativeFrom="paragraph">
              <wp:posOffset>29845</wp:posOffset>
            </wp:positionV>
            <wp:extent cx="6686550" cy="8106410"/>
            <wp:effectExtent l="0" t="0" r="0" b="8890"/>
            <wp:wrapNone/>
            <wp:docPr id="3" name="图片 3" descr="1640250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0250593(1)"/>
                    <pic:cNvPicPr>
                      <a:picLocks noChangeAspect="1"/>
                    </pic:cNvPicPr>
                  </pic:nvPicPr>
                  <pic:blipFill>
                    <a:blip r:embed="rId7"/>
                    <a:stretch>
                      <a:fillRect/>
                    </a:stretch>
                  </pic:blipFill>
                  <pic:spPr>
                    <a:xfrm>
                      <a:off x="0" y="0"/>
                      <a:ext cx="6686550" cy="8106410"/>
                    </a:xfrm>
                    <a:prstGeom prst="rect">
                      <a:avLst/>
                    </a:prstGeom>
                  </pic:spPr>
                </pic:pic>
              </a:graphicData>
            </a:graphic>
          </wp:anchor>
        </w:drawing>
      </w:r>
      <w:bookmarkEnd w:id="31"/>
    </w:p>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w:t>
                  </w:r>
                  <w:r>
                    <w:rPr>
                      <w:rFonts w:hint="eastAsia"/>
                    </w:rPr>
                    <w:sym w:font="Wingdings 2" w:char="00A3"/>
                  </w:r>
                  <w:r>
                    <w:rPr>
                      <w:rFonts w:hint="eastAsia"/>
                    </w:rPr>
                    <w:t xml:space="preserve">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w:t>
                  </w:r>
                  <w:r>
                    <w:rPr>
                      <w:rFonts w:hint="eastAsia"/>
                    </w:rPr>
                    <w:sym w:font="Wingdings 2" w:char="00A3"/>
                  </w:r>
                  <w:r>
                    <w:rPr>
                      <w:rFonts w:hint="eastAsia"/>
                    </w:rPr>
                    <w:t xml:space="preserve">绩效 ■工艺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 ■检测水平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w:t>
            </w:r>
            <w:r>
              <w:rPr>
                <w:rFonts w:hint="eastAsia"/>
              </w:rPr>
              <w:sym w:font="Wingdings 2" w:char="00A3"/>
            </w:r>
            <w:r>
              <w:rPr>
                <w:rFonts w:hint="eastAsia"/>
              </w:rPr>
              <w:t xml:space="preserve">外部供方控制 ■生产/服务控制 </w:t>
            </w:r>
            <w:r>
              <w:rPr>
                <w:rFonts w:hint="eastAsia"/>
              </w:rPr>
              <w:sym w:font="Wingdings 2" w:char="00A3"/>
            </w:r>
            <w:r>
              <w:rPr>
                <w:rFonts w:hint="eastAsia"/>
              </w:rPr>
              <w:t>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无</w:t>
            </w:r>
          </w:p>
          <w:p>
            <w:pPr>
              <w:shd w:val="clear" w:color="auto" w:fill="C7DAF1" w:themeFill="text2" w:themeFillTint="32"/>
              <w:spacing w:before="40" w:after="40"/>
            </w:pPr>
            <w:r>
              <w:rPr>
                <w:rFonts w:hint="eastAsia"/>
              </w:rPr>
              <w:t xml:space="preserve">□新产品设计开发 □原材料订制 □生产/服务过程 </w:t>
            </w:r>
            <w:r>
              <w:rPr>
                <w:rFonts w:hint="eastAsia"/>
              </w:rPr>
              <w:sym w:font="Wingdings 2" w:char="0052"/>
            </w:r>
            <w:r>
              <w:rPr>
                <w:rFonts w:hint="eastAsia"/>
              </w:rPr>
              <w:t>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hint="eastAsia"/>
              </w:rPr>
            </w:pPr>
            <w:r>
              <w:rPr>
                <w:rFonts w:hint="eastAsia"/>
              </w:rPr>
              <w:t>领导</w:t>
            </w:r>
          </w:p>
          <w:p>
            <w:pPr>
              <w:shd w:val="clear" w:color="auto" w:fill="C7DAF1" w:themeFill="text2" w:themeFillTint="32"/>
            </w:pPr>
            <w:r>
              <w:rPr>
                <w:rFonts w:hint="eastAsia"/>
              </w:rPr>
              <w:t>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firstLine="420" w:firstLineChars="200"/>
              <w:rPr>
                <w:u w:val="single"/>
              </w:rPr>
            </w:pPr>
            <w:r>
              <w:rPr>
                <w:rFonts w:hint="eastAsia"/>
                <w:lang w:val="en-GB"/>
              </w:rPr>
              <w:t>最高管理者制定了文件化的管理体系方针：</w:t>
            </w:r>
            <w:r>
              <w:rPr>
                <w:rFonts w:hint="eastAsia"/>
                <w:u w:val="single"/>
                <w:lang w:val="en-GB"/>
              </w:rPr>
              <w:t xml:space="preserve"> </w:t>
            </w:r>
            <w:r>
              <w:rPr>
                <w:rFonts w:hint="eastAsia" w:ascii="宋体" w:hAnsi="宋体"/>
                <w:bCs/>
                <w:kern w:val="0"/>
                <w:szCs w:val="24"/>
                <w:u w:val="single"/>
              </w:rPr>
              <w:t>科学管理</w:t>
            </w:r>
            <w:r>
              <w:rPr>
                <w:rFonts w:hint="eastAsia" w:ascii="宋体" w:hAnsi="宋体"/>
                <w:bCs/>
                <w:kern w:val="0"/>
                <w:szCs w:val="24"/>
                <w:u w:val="single"/>
                <w:lang w:eastAsia="zh-CN"/>
              </w:rPr>
              <w:t>，</w:t>
            </w:r>
            <w:r>
              <w:rPr>
                <w:rFonts w:hint="eastAsia" w:ascii="宋体" w:hAnsi="宋体"/>
                <w:bCs/>
                <w:kern w:val="0"/>
                <w:szCs w:val="24"/>
                <w:u w:val="single"/>
              </w:rPr>
              <w:t>诚信经营</w:t>
            </w:r>
            <w:r>
              <w:rPr>
                <w:rFonts w:hint="eastAsia" w:ascii="宋体" w:hAnsi="宋体"/>
                <w:bCs/>
                <w:kern w:val="0"/>
                <w:szCs w:val="24"/>
                <w:u w:val="single"/>
                <w:lang w:eastAsia="zh-CN"/>
              </w:rPr>
              <w:t>，</w:t>
            </w:r>
            <w:r>
              <w:rPr>
                <w:rFonts w:hint="eastAsia" w:ascii="宋体" w:hAnsi="宋体"/>
                <w:bCs/>
                <w:kern w:val="0"/>
                <w:szCs w:val="24"/>
                <w:u w:val="single"/>
              </w:rPr>
              <w:t>持续改进</w:t>
            </w:r>
            <w:r>
              <w:rPr>
                <w:rFonts w:hint="eastAsia" w:ascii="宋体" w:hAnsi="宋体"/>
                <w:bCs/>
                <w:kern w:val="0"/>
                <w:szCs w:val="24"/>
                <w:u w:val="single"/>
                <w:lang w:eastAsia="zh-CN"/>
              </w:rPr>
              <w:t>,顾客满意</w:t>
            </w:r>
          </w:p>
          <w:p>
            <w:pPr>
              <w:shd w:val="clear" w:color="auto" w:fill="C7DAF1" w:themeFill="text2" w:themeFillTint="32"/>
              <w:rPr>
                <w:rFonts w:hint="eastAsia"/>
                <w:lang w:val="en-GB"/>
              </w:rPr>
            </w:pPr>
            <w:r>
              <w:rPr>
                <w:rFonts w:hint="eastAsia"/>
                <w:lang w:val="en-GB"/>
              </w:rPr>
              <w:t>质量方针合理恰当并为相应的质量目标提供了框架。</w:t>
            </w:r>
          </w:p>
          <w:p>
            <w:pPr>
              <w:shd w:val="clear" w:color="auto" w:fill="C7DAF1" w:themeFill="text2" w:themeFillTint="32"/>
            </w:pP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客户：</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与客户沟通寻求合作机会</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风险：</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val="0"/>
                      <w:bCs w:val="0"/>
                      <w:sz w:val="18"/>
                      <w:szCs w:val="18"/>
                      <w:lang w:val="en-US" w:eastAsia="zh-CN"/>
                    </w:rPr>
                    <w:t>1）市场形势施工本行业影响较大</w:t>
                  </w:r>
                </w:p>
                <w:p>
                  <w:pPr>
                    <w:pStyle w:val="2"/>
                    <w:rPr>
                      <w:rFonts w:hint="default"/>
                      <w:lang w:val="en-US" w:eastAsia="zh-CN"/>
                    </w:rPr>
                  </w:pPr>
                </w:p>
              </w:tc>
              <w:tc>
                <w:tcPr>
                  <w:tcW w:w="3249" w:type="dxa"/>
                </w:tcPr>
                <w:p>
                  <w:pPr>
                    <w:shd w:val="clear" w:color="auto" w:fill="C7DAF1" w:themeFill="text2" w:themeFillTint="32"/>
                    <w:rPr>
                      <w:rFonts w:hint="eastAsia"/>
                      <w:lang w:val="en-US" w:eastAsia="zh-CN"/>
                    </w:rPr>
                  </w:pPr>
                </w:p>
                <w:p>
                  <w:pPr>
                    <w:pStyle w:val="2"/>
                    <w:numPr>
                      <w:ilvl w:val="0"/>
                      <w:numId w:val="0"/>
                    </w:numPr>
                    <w:rPr>
                      <w:rFonts w:hint="default"/>
                      <w:lang w:val="en-US" w:eastAsia="zh-CN"/>
                    </w:rPr>
                  </w:pPr>
                  <w:r>
                    <w:rPr>
                      <w:rFonts w:hint="eastAsia" w:ascii="Times New Roman" w:hAnsi="Times New Roman" w:eastAsia="宋体" w:cs="Times New Roman"/>
                      <w:b w:val="0"/>
                      <w:bCs w:val="0"/>
                      <w:spacing w:val="0"/>
                      <w:kern w:val="2"/>
                      <w:sz w:val="18"/>
                      <w:szCs w:val="18"/>
                      <w:lang w:val="en-US" w:eastAsia="zh-CN" w:bidi="ar-SA"/>
                    </w:rPr>
                    <w:t>逐步提高业务量和质量稳定性，以利用此机遇，获得业务增长</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供方：</w:t>
                  </w:r>
                </w:p>
                <w:p>
                  <w:pPr>
                    <w:shd w:val="clear" w:color="auto" w:fill="C7DAF1" w:themeFill="text2" w:themeFillTint="32"/>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满足供方需求，可以确保供货稳定，交付准时，产品质量合格率高；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lang w:val="en-US" w:eastAsia="zh-CN"/>
                    </w:rPr>
                    <w:t>风险</w:t>
                  </w:r>
                  <w:r>
                    <w:rPr>
                      <w:rFonts w:hint="eastAsia"/>
                      <w:b w:val="0"/>
                      <w:bCs w:val="0"/>
                      <w:sz w:val="18"/>
                      <w:szCs w:val="18"/>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ind w:leftChars="0"/>
                    <w:textAlignment w:val="auto"/>
                    <w:rPr>
                      <w:rFonts w:hint="eastAsia"/>
                      <w:lang w:val="en-US" w:eastAsia="zh-CN"/>
                    </w:rPr>
                  </w:pPr>
                  <w:r>
                    <w:rPr>
                      <w:rFonts w:hint="eastAsia" w:ascii="Times New Roman" w:hAnsi="Times New Roman" w:eastAsia="宋体" w:cs="Times New Roman"/>
                      <w:b w:val="0"/>
                      <w:bCs w:val="0"/>
                      <w:spacing w:val="0"/>
                      <w:kern w:val="2"/>
                      <w:sz w:val="18"/>
                      <w:szCs w:val="18"/>
                      <w:lang w:val="en-US" w:eastAsia="zh-CN" w:bidi="ar-SA"/>
                    </w:rPr>
                    <w:t>外部供方供货不合格，产品质量不合格</w:t>
                  </w:r>
                  <w:r>
                    <w:rPr>
                      <w:rFonts w:hint="eastAsia" w:cs="Times New Roman"/>
                      <w:b w:val="0"/>
                      <w:bCs w:val="0"/>
                      <w:spacing w:val="0"/>
                      <w:kern w:val="2"/>
                      <w:sz w:val="18"/>
                      <w:szCs w:val="18"/>
                      <w:lang w:val="en-US" w:eastAsia="zh-CN" w:bidi="ar-SA"/>
                    </w:rPr>
                    <w:t>，</w:t>
                  </w:r>
                  <w:r>
                    <w:rPr>
                      <w:rFonts w:hint="eastAsia" w:ascii="Times New Roman" w:hAnsi="Times New Roman" w:eastAsia="宋体" w:cs="Times New Roman"/>
                      <w:b w:val="0"/>
                      <w:bCs w:val="0"/>
                      <w:spacing w:val="0"/>
                      <w:kern w:val="2"/>
                      <w:sz w:val="18"/>
                      <w:szCs w:val="18"/>
                      <w:lang w:val="en-US" w:eastAsia="zh-CN" w:bidi="ar-SA"/>
                    </w:rPr>
                    <w:t>交期延误</w:t>
                  </w:r>
                </w:p>
              </w:tc>
              <w:tc>
                <w:tcPr>
                  <w:tcW w:w="3249" w:type="dxa"/>
                </w:tcPr>
                <w:p>
                  <w:pPr>
                    <w:pStyle w:val="24"/>
                    <w:numPr>
                      <w:ilvl w:val="0"/>
                      <w:numId w:val="0"/>
                    </w:numPr>
                    <w:ind w:leftChars="0"/>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对供方质量管理能力进行评价；</w:t>
                  </w:r>
                </w:p>
                <w:p>
                  <w:pPr>
                    <w:shd w:val="clear" w:color="auto" w:fill="C7DAF1" w:themeFill="text2" w:themeFillTint="32"/>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对外部供方提供的产品进行抽样检验；</w:t>
                  </w:r>
                </w:p>
                <w:p>
                  <w:pPr>
                    <w:pStyle w:val="2"/>
                    <w:rPr>
                      <w:rFonts w:hint="default"/>
                      <w:lang w:val="en-US" w:eastAsia="zh-CN"/>
                    </w:rPr>
                  </w:pP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bCs/>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产品质量稳定：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机遇：</w:t>
                  </w:r>
                  <w:r>
                    <w:rPr>
                      <w:rFonts w:hint="eastAsia" w:ascii="Times New Roman" w:hAnsi="Times New Roman" w:eastAsia="宋体" w:cs="Times New Roman"/>
                      <w:b w:val="0"/>
                      <w:bCs w:val="0"/>
                      <w:spacing w:val="0"/>
                      <w:kern w:val="2"/>
                      <w:sz w:val="18"/>
                      <w:szCs w:val="18"/>
                      <w:lang w:val="en-US" w:eastAsia="zh-CN" w:bidi="ar-SA"/>
                    </w:rPr>
                    <w:t>产品质量不稳定，公司积极</w:t>
                  </w:r>
                  <w:r>
                    <w:rPr>
                      <w:rFonts w:hint="eastAsia" w:cs="Times New Roman"/>
                      <w:b w:val="0"/>
                      <w:bCs w:val="0"/>
                      <w:spacing w:val="0"/>
                      <w:kern w:val="2"/>
                      <w:sz w:val="18"/>
                      <w:szCs w:val="18"/>
                      <w:lang w:val="en-US" w:eastAsia="zh-CN" w:bidi="ar-SA"/>
                    </w:rPr>
                    <w:t>采取</w:t>
                  </w:r>
                  <w:r>
                    <w:rPr>
                      <w:rFonts w:hint="eastAsia" w:ascii="Times New Roman" w:hAnsi="Times New Roman" w:eastAsia="宋体" w:cs="Times New Roman"/>
                      <w:b w:val="0"/>
                      <w:bCs w:val="0"/>
                      <w:spacing w:val="0"/>
                      <w:kern w:val="2"/>
                      <w:sz w:val="18"/>
                      <w:szCs w:val="18"/>
                      <w:lang w:val="en-US" w:eastAsia="zh-CN" w:bidi="ar-SA"/>
                    </w:rPr>
                    <w:t>新</w:t>
                  </w:r>
                  <w:r>
                    <w:rPr>
                      <w:rFonts w:hint="eastAsia" w:cs="Times New Roman"/>
                      <w:b w:val="0"/>
                      <w:bCs w:val="0"/>
                      <w:spacing w:val="0"/>
                      <w:kern w:val="2"/>
                      <w:sz w:val="18"/>
                      <w:szCs w:val="18"/>
                      <w:lang w:val="en-US" w:eastAsia="zh-CN" w:bidi="ar-SA"/>
                    </w:rPr>
                    <w:t>措施有效改进</w:t>
                  </w:r>
                  <w:r>
                    <w:rPr>
                      <w:rFonts w:hint="eastAsia" w:ascii="Times New Roman" w:hAnsi="Times New Roman" w:eastAsia="宋体" w:cs="Times New Roman"/>
                      <w:b w:val="0"/>
                      <w:bCs w:val="0"/>
                      <w:spacing w:val="0"/>
                      <w:kern w:val="2"/>
                      <w:sz w:val="18"/>
                      <w:szCs w:val="18"/>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风险：</w:t>
                  </w:r>
                  <w:r>
                    <w:rPr>
                      <w:rFonts w:hint="eastAsia" w:ascii="Times New Roman" w:hAnsi="Times New Roman" w:eastAsia="宋体" w:cs="Times New Roman"/>
                      <w:b w:val="0"/>
                      <w:bCs w:val="0"/>
                      <w:spacing w:val="0"/>
                      <w:kern w:val="2"/>
                      <w:sz w:val="18"/>
                      <w:szCs w:val="18"/>
                      <w:lang w:val="en-US" w:eastAsia="zh-CN" w:bidi="ar-SA"/>
                    </w:rPr>
                    <w:t>产品质量不稳定</w:t>
                  </w:r>
                  <w:r>
                    <w:rPr>
                      <w:rFonts w:hint="eastAsia" w:cs="Times New Roman"/>
                      <w:b w:val="0"/>
                      <w:bCs w:val="0"/>
                      <w:spacing w:val="0"/>
                      <w:kern w:val="2"/>
                      <w:sz w:val="18"/>
                      <w:szCs w:val="18"/>
                      <w:lang w:val="en-US" w:eastAsia="zh-CN" w:bidi="ar-SA"/>
                    </w:rPr>
                    <w:t>、</w:t>
                  </w:r>
                  <w:r>
                    <w:rPr>
                      <w:rFonts w:hint="eastAsia" w:ascii="Times New Roman" w:hAnsi="Times New Roman" w:eastAsia="宋体" w:cs="Times New Roman"/>
                      <w:b w:val="0"/>
                      <w:bCs w:val="0"/>
                      <w:spacing w:val="0"/>
                      <w:kern w:val="2"/>
                      <w:sz w:val="18"/>
                      <w:szCs w:val="18"/>
                      <w:lang w:val="en-US" w:eastAsia="zh-CN" w:bidi="ar-SA"/>
                    </w:rPr>
                    <w:t>不合格交期延误；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eastAsia="宋体"/>
                      <w:lang w:val="en-US" w:eastAsia="zh-CN"/>
                    </w:rPr>
                  </w:pPr>
                </w:p>
              </w:tc>
              <w:tc>
                <w:tcPr>
                  <w:tcW w:w="3249" w:type="dxa"/>
                </w:tcPr>
                <w:p>
                  <w:pPr>
                    <w:shd w:val="clear" w:color="auto" w:fill="C7DAF1" w:themeFill="text2" w:themeFillTint="32"/>
                    <w:rPr>
                      <w:rFonts w:hint="eastAsia" w:ascii="Times New Roman" w:hAnsi="Times New Roman" w:eastAsia="宋体" w:cs="Times New Roman"/>
                      <w:b w:val="0"/>
                      <w:bCs w:val="0"/>
                      <w:spacing w:val="0"/>
                      <w:kern w:val="2"/>
                      <w:sz w:val="18"/>
                      <w:szCs w:val="18"/>
                      <w:lang w:val="en-US" w:eastAsia="zh-CN" w:bidi="ar-SA"/>
                    </w:rPr>
                  </w:pPr>
                  <w:r>
                    <w:rPr>
                      <w:rFonts w:hint="eastAsia" w:cs="Times New Roman"/>
                      <w:b w:val="0"/>
                      <w:bCs w:val="0"/>
                      <w:spacing w:val="0"/>
                      <w:kern w:val="2"/>
                      <w:sz w:val="18"/>
                      <w:szCs w:val="18"/>
                      <w:lang w:val="en-US" w:eastAsia="zh-CN" w:bidi="ar-SA"/>
                    </w:rPr>
                    <w:t>从供方、</w:t>
                  </w:r>
                  <w:r>
                    <w:rPr>
                      <w:rFonts w:hint="eastAsia" w:ascii="Times New Roman" w:hAnsi="Times New Roman" w:eastAsia="宋体" w:cs="Times New Roman"/>
                      <w:b w:val="0"/>
                      <w:bCs w:val="0"/>
                      <w:spacing w:val="0"/>
                      <w:kern w:val="2"/>
                      <w:sz w:val="18"/>
                      <w:szCs w:val="18"/>
                      <w:lang w:val="en-US" w:eastAsia="zh-CN" w:bidi="ar-SA"/>
                    </w:rPr>
                    <w:t>过程</w:t>
                  </w:r>
                  <w:r>
                    <w:rPr>
                      <w:rFonts w:hint="eastAsia" w:cs="Times New Roman"/>
                      <w:b w:val="0"/>
                      <w:bCs w:val="0"/>
                      <w:spacing w:val="0"/>
                      <w:kern w:val="2"/>
                      <w:sz w:val="18"/>
                      <w:szCs w:val="18"/>
                      <w:lang w:val="en-US" w:eastAsia="zh-CN" w:bidi="ar-SA"/>
                    </w:rPr>
                    <w:t>及交付严格控制，并对</w:t>
                  </w:r>
                  <w:r>
                    <w:rPr>
                      <w:rFonts w:hint="eastAsia" w:ascii="Times New Roman" w:hAnsi="Times New Roman" w:eastAsia="宋体" w:cs="Times New Roman"/>
                      <w:b w:val="0"/>
                      <w:bCs w:val="0"/>
                      <w:spacing w:val="0"/>
                      <w:kern w:val="2"/>
                      <w:sz w:val="18"/>
                      <w:szCs w:val="18"/>
                      <w:lang w:val="en-US" w:eastAsia="zh-CN" w:bidi="ar-SA"/>
                    </w:rPr>
                    <w:t>产品进行抽样检验</w:t>
                  </w:r>
                  <w:r>
                    <w:rPr>
                      <w:rFonts w:hint="eastAsia" w:cs="Times New Roman"/>
                      <w:b w:val="0"/>
                      <w:bCs w:val="0"/>
                      <w:spacing w:val="0"/>
                      <w:kern w:val="2"/>
                      <w:sz w:val="18"/>
                      <w:szCs w:val="18"/>
                      <w:lang w:val="en-US" w:eastAsia="zh-CN" w:bidi="ar-SA"/>
                    </w:rPr>
                    <w:t>，确保</w:t>
                  </w:r>
                  <w:r>
                    <w:rPr>
                      <w:rFonts w:hint="eastAsia" w:ascii="Times New Roman" w:hAnsi="Times New Roman" w:eastAsia="宋体" w:cs="Times New Roman"/>
                      <w:b w:val="0"/>
                      <w:bCs w:val="0"/>
                      <w:spacing w:val="0"/>
                      <w:kern w:val="2"/>
                      <w:sz w:val="18"/>
                      <w:szCs w:val="18"/>
                      <w:lang w:val="en-US" w:eastAsia="zh-CN" w:bidi="ar-SA"/>
                    </w:rPr>
                    <w:t>产品质量的稳定性，提高产品竞争力，开拓新市场。</w:t>
                  </w:r>
                </w:p>
                <w:p>
                  <w:pPr>
                    <w:shd w:val="clear" w:color="auto" w:fill="C7DAF1" w:themeFill="text2" w:themeFillTint="32"/>
                    <w:rPr>
                      <w:rFonts w:hint="default"/>
                      <w:lang w:val="en-US" w:eastAsia="zh-CN"/>
                    </w:rPr>
                  </w:pP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rPr>
                      <w:rFonts w:hint="eastAsia"/>
                      <w:b/>
                      <w:bCs/>
                      <w:sz w:val="18"/>
                      <w:szCs w:val="18"/>
                    </w:rPr>
                  </w:pPr>
                  <w:r>
                    <w:rPr>
                      <w:rFonts w:hint="eastAsia"/>
                      <w:b/>
                      <w:bCs/>
                      <w:sz w:val="18"/>
                      <w:szCs w:val="18"/>
                    </w:rPr>
                    <w:t>法律、法规内容的变化</w:t>
                  </w:r>
                </w:p>
                <w:p>
                  <w:pPr>
                    <w:rPr>
                      <w:rFonts w:hint="eastAsia"/>
                      <w:sz w:val="18"/>
                      <w:szCs w:val="18"/>
                    </w:rPr>
                  </w:pPr>
                  <w:r>
                    <w:rPr>
                      <w:rFonts w:hint="eastAsia"/>
                      <w:b/>
                      <w:sz w:val="18"/>
                      <w:szCs w:val="18"/>
                    </w:rPr>
                    <w:t>机遇：</w:t>
                  </w:r>
                  <w:r>
                    <w:rPr>
                      <w:rFonts w:hint="eastAsia"/>
                      <w:sz w:val="18"/>
                      <w:szCs w:val="18"/>
                    </w:rPr>
                    <w:t>公司调整给公司带来潜在的客户</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sz w:val="18"/>
                      <w:szCs w:val="18"/>
                    </w:rPr>
                    <w:t>公司对法律法规是否充分收集评估并执行遵守，执行标准符合新法规要求</w:t>
                  </w:r>
                  <w:r>
                    <w:rPr>
                      <w:rFonts w:hint="eastAsia"/>
                      <w:sz w:val="18"/>
                      <w:szCs w:val="18"/>
                      <w:lang w:eastAsia="zh-CN"/>
                    </w:rPr>
                    <w:t>。</w:t>
                  </w:r>
                </w:p>
              </w:tc>
              <w:tc>
                <w:tcPr>
                  <w:tcW w:w="3249" w:type="dxa"/>
                </w:tcPr>
                <w:p>
                  <w:pPr>
                    <w:numPr>
                      <w:ilvl w:val="0"/>
                      <w:numId w:val="0"/>
                    </w:numPr>
                    <w:shd w:val="clear" w:color="auto" w:fill="C7DAF1" w:themeFill="text2" w:themeFillTint="32"/>
                    <w:rPr>
                      <w:rFonts w:hint="eastAsia"/>
                      <w:sz w:val="18"/>
                      <w:szCs w:val="18"/>
                    </w:rPr>
                  </w:pPr>
                  <w:r>
                    <w:rPr>
                      <w:rFonts w:hint="eastAsia"/>
                      <w:sz w:val="18"/>
                      <w:szCs w:val="18"/>
                    </w:rPr>
                    <w:t>主要职能部门按照要求加强法律法规的收集评价</w:t>
                  </w:r>
                </w:p>
                <w:p>
                  <w:pPr>
                    <w:pStyle w:val="2"/>
                    <w:numPr>
                      <w:ilvl w:val="0"/>
                      <w:numId w:val="0"/>
                    </w:numPr>
                    <w:rPr>
                      <w:rFonts w:hint="default"/>
                      <w:lang w:val="en-US" w:eastAsia="zh-CN"/>
                    </w:rPr>
                  </w:pPr>
                  <w:r>
                    <w:rPr>
                      <w:rFonts w:hint="eastAsia"/>
                      <w:sz w:val="18"/>
                      <w:szCs w:val="18"/>
                    </w:rPr>
                    <w:t>加大市场开拓</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3556" w:type="dxa"/>
                </w:tcPr>
                <w:p>
                  <w:pPr>
                    <w:shd w:val="clear" w:color="auto" w:fill="C7DAF1" w:themeFill="text2" w:themeFillTint="32"/>
                    <w:rPr>
                      <w:rFonts w:hint="eastAsia"/>
                      <w:b/>
                      <w:bCs/>
                      <w:sz w:val="18"/>
                      <w:szCs w:val="18"/>
                      <w:lang w:val="en-US" w:eastAsia="zh-CN"/>
                    </w:rPr>
                  </w:pPr>
                  <w:r>
                    <w:rPr>
                      <w:rFonts w:hint="eastAsia"/>
                      <w:b/>
                      <w:bCs/>
                      <w:sz w:val="18"/>
                      <w:szCs w:val="18"/>
                      <w:lang w:val="en-US" w:eastAsia="zh-CN"/>
                    </w:rPr>
                    <w:t>员工：</w:t>
                  </w:r>
                </w:p>
                <w:p>
                  <w:pPr>
                    <w:pStyle w:val="2"/>
                    <w:rPr>
                      <w:rFonts w:hint="eastAsia"/>
                      <w:sz w:val="18"/>
                      <w:szCs w:val="18"/>
                      <w:lang w:val="en-US" w:eastAsia="zh-CN"/>
                    </w:rPr>
                  </w:pPr>
                  <w:r>
                    <w:rPr>
                      <w:rFonts w:hint="eastAsia"/>
                      <w:b/>
                      <w:bCs w:val="0"/>
                      <w:sz w:val="18"/>
                      <w:szCs w:val="18"/>
                      <w:lang w:val="en-US" w:eastAsia="zh-CN"/>
                    </w:rPr>
                    <w:t>机遇</w:t>
                  </w:r>
                  <w:r>
                    <w:rPr>
                      <w:rFonts w:hint="eastAsia"/>
                      <w:sz w:val="18"/>
                      <w:szCs w:val="18"/>
                      <w:lang w:val="en-US" w:eastAsia="zh-CN"/>
                    </w:rPr>
                    <w:t>：满足要求时，工作效率较高，产品质量稳定；</w:t>
                  </w:r>
                </w:p>
                <w:p>
                  <w:pPr>
                    <w:pStyle w:val="2"/>
                    <w:rPr>
                      <w:rFonts w:hint="default"/>
                      <w:sz w:val="18"/>
                      <w:szCs w:val="18"/>
                      <w:lang w:val="en-US" w:eastAsia="zh-CN"/>
                    </w:rPr>
                  </w:pPr>
                  <w:r>
                    <w:rPr>
                      <w:rFonts w:hint="eastAsia"/>
                      <w:b/>
                      <w:bCs w:val="0"/>
                      <w:sz w:val="18"/>
                      <w:szCs w:val="18"/>
                      <w:lang w:val="en-US" w:eastAsia="zh-CN"/>
                    </w:rPr>
                    <w:t>风险：</w:t>
                  </w:r>
                  <w:r>
                    <w:rPr>
                      <w:rFonts w:hint="eastAsia"/>
                      <w:sz w:val="18"/>
                      <w:szCs w:val="18"/>
                      <w:lang w:val="en-US" w:eastAsia="zh-CN"/>
                    </w:rPr>
                    <w:t>人员不足，能力不足，沟通不畅</w:t>
                  </w:r>
                </w:p>
              </w:tc>
              <w:tc>
                <w:tcPr>
                  <w:tcW w:w="3249" w:type="dxa"/>
                  <w:vAlign w:val="center"/>
                </w:tcPr>
                <w:p>
                  <w:pPr>
                    <w:numPr>
                      <w:ilvl w:val="0"/>
                      <w:numId w:val="0"/>
                    </w:numPr>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eastAsia"/>
                      <w:sz w:val="18"/>
                      <w:szCs w:val="18"/>
                      <w:lang w:val="en-US" w:eastAsia="zh-CN"/>
                    </w:rPr>
                  </w:pPr>
                </w:p>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
                      <w:bCs w:val="0"/>
                      <w:spacing w:val="10"/>
                      <w:kern w:val="2"/>
                      <w:sz w:val="18"/>
                      <w:szCs w:val="18"/>
                      <w:lang w:val="en-US" w:eastAsia="zh-CN" w:bidi="ar-SA"/>
                    </w:rPr>
                    <w:t>疫情影响</w:t>
                  </w:r>
                  <w:r>
                    <w:rPr>
                      <w:rFonts w:hint="eastAsia" w:ascii="Times New Roman" w:hAnsi="Times New Roman" w:eastAsia="宋体" w:cs="Times New Roman"/>
                      <w:bCs/>
                      <w:spacing w:val="10"/>
                      <w:kern w:val="2"/>
                      <w:sz w:val="18"/>
                      <w:szCs w:val="18"/>
                      <w:lang w:val="en-US" w:eastAsia="zh-CN" w:bidi="ar-SA"/>
                    </w:rPr>
                    <w:t>：</w:t>
                  </w:r>
                </w:p>
                <w:p>
                  <w:pPr>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
                      <w:bCs w:val="0"/>
                      <w:spacing w:val="10"/>
                      <w:kern w:val="2"/>
                      <w:sz w:val="18"/>
                      <w:szCs w:val="18"/>
                      <w:lang w:val="en-US" w:eastAsia="zh-CN" w:bidi="ar-SA"/>
                    </w:rPr>
                    <w:t>风险：</w:t>
                  </w:r>
                  <w:r>
                    <w:rPr>
                      <w:rFonts w:hint="eastAsia" w:ascii="Times New Roman" w:hAnsi="Times New Roman" w:eastAsia="宋体" w:cs="Times New Roman"/>
                      <w:bCs/>
                      <w:spacing w:val="10"/>
                      <w:kern w:val="2"/>
                      <w:sz w:val="18"/>
                      <w:szCs w:val="18"/>
                      <w:lang w:val="en-US" w:eastAsia="zh-CN" w:bidi="ar-SA"/>
                    </w:rPr>
                    <w:t>产品滞销、采购渠道受影响、人员身体健康安全受到威胁</w:t>
                  </w:r>
                </w:p>
                <w:p>
                  <w:pPr>
                    <w:shd w:val="clear" w:color="auto" w:fill="C7DAF1" w:themeFill="text2" w:themeFillTint="32"/>
                    <w:rPr>
                      <w:rFonts w:hint="default"/>
                      <w:lang w:val="en-US" w:eastAsia="zh-CN"/>
                    </w:rPr>
                  </w:pPr>
                  <w:r>
                    <w:rPr>
                      <w:rFonts w:hint="eastAsia" w:ascii="Times New Roman" w:hAnsi="Times New Roman" w:eastAsia="宋体" w:cs="Times New Roman"/>
                      <w:b/>
                      <w:bCs w:val="0"/>
                      <w:spacing w:val="10"/>
                      <w:kern w:val="2"/>
                      <w:sz w:val="18"/>
                      <w:szCs w:val="18"/>
                      <w:lang w:val="en-US" w:eastAsia="zh-CN" w:bidi="ar-SA"/>
                    </w:rPr>
                    <w:t>机遇：</w:t>
                  </w:r>
                  <w:r>
                    <w:rPr>
                      <w:rFonts w:hint="eastAsia" w:ascii="Times New Roman" w:hAnsi="Times New Roman" w:eastAsia="宋体" w:cs="Times New Roman"/>
                      <w:bCs/>
                      <w:spacing w:val="10"/>
                      <w:kern w:val="2"/>
                      <w:sz w:val="18"/>
                      <w:szCs w:val="18"/>
                      <w:lang w:val="en-US" w:eastAsia="zh-CN" w:bidi="ar-SA"/>
                    </w:rPr>
                    <w:t>为满足顾客要求克服一切困难，赢得更多认可</w:t>
                  </w:r>
                </w:p>
              </w:tc>
              <w:tc>
                <w:tcPr>
                  <w:tcW w:w="3249" w:type="dxa"/>
                  <w:vAlign w:val="center"/>
                </w:tcPr>
                <w:p>
                  <w:pPr>
                    <w:numPr>
                      <w:ilvl w:val="0"/>
                      <w:numId w:val="0"/>
                    </w:numPr>
                    <w:ind w:firstLine="180" w:firstLineChars="100"/>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执行法律法规及主管部门要求，掌握并做好防护；</w:t>
                  </w:r>
                </w:p>
                <w:p>
                  <w:pPr>
                    <w:numPr>
                      <w:ilvl w:val="0"/>
                      <w:numId w:val="0"/>
                    </w:numPr>
                    <w:ind w:firstLine="180" w:firstLineChars="100"/>
                    <w:rPr>
                      <w:rFonts w:hint="default" w:eastAsia="宋体"/>
                      <w:sz w:val="18"/>
                      <w:szCs w:val="18"/>
                      <w:lang w:val="en-US" w:eastAsia="zh-CN"/>
                    </w:rPr>
                  </w:pPr>
                  <w:r>
                    <w:rPr>
                      <w:rFonts w:hint="eastAsia" w:ascii="Times New Roman" w:hAnsi="Times New Roman" w:eastAsia="宋体" w:cs="Times New Roman"/>
                      <w:b w:val="0"/>
                      <w:bCs w:val="0"/>
                      <w:sz w:val="18"/>
                      <w:szCs w:val="18"/>
                    </w:rPr>
                    <w:t>配备防护消毒用品，进行</w:t>
                  </w:r>
                  <w:r>
                    <w:rPr>
                      <w:rFonts w:hint="eastAsia" w:cs="Times New Roman"/>
                      <w:b w:val="0"/>
                      <w:bCs w:val="0"/>
                      <w:sz w:val="18"/>
                      <w:szCs w:val="18"/>
                      <w:lang w:val="en-US" w:eastAsia="zh-CN"/>
                    </w:rPr>
                    <w:t>每</w:t>
                  </w:r>
                  <w:r>
                    <w:rPr>
                      <w:rFonts w:hint="eastAsia" w:ascii="Times New Roman" w:hAnsi="Times New Roman" w:eastAsia="宋体" w:cs="Times New Roman"/>
                      <w:b w:val="0"/>
                      <w:bCs w:val="0"/>
                      <w:sz w:val="18"/>
                      <w:szCs w:val="18"/>
                    </w:rPr>
                    <w:t>日体温监测均正常；限制人员只能在厂区活动，控制外来人员。</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ascii="宋体" w:hAnsi="宋体"/>
                      <w:szCs w:val="24"/>
                    </w:rPr>
                    <w:t>≥</w:t>
                  </w:r>
                  <w:r>
                    <w:rPr>
                      <w:rFonts w:hint="eastAsia"/>
                      <w:lang w:val="en-US" w:eastAsia="zh-CN"/>
                    </w:rPr>
                    <w:t>90</w:t>
                  </w:r>
                  <w:r>
                    <w:rPr>
                      <w:rFonts w:hint="eastAsia"/>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lang w:val="en-US" w:eastAsia="zh-CN"/>
                    </w:rPr>
                  </w:pPr>
                  <w:r>
                    <w:rPr>
                      <w:rFonts w:hint="eastAsia" w:ascii="宋体" w:hAnsi="宋体" w:eastAsia="宋体" w:cs="Times New Roman"/>
                      <w:lang w:val="en-US" w:eastAsia="zh-CN"/>
                    </w:rP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91" w:type="dxa"/>
                  <w:shd w:val="clear" w:color="auto" w:fill="auto"/>
                </w:tcPr>
                <w:p>
                  <w:pPr>
                    <w:numPr>
                      <w:ilvl w:val="0"/>
                      <w:numId w:val="0"/>
                    </w:numPr>
                    <w:spacing w:line="280" w:lineRule="exact"/>
                  </w:pPr>
                  <w:r>
                    <w:rPr>
                      <w:rFonts w:hint="eastAsia"/>
                    </w:rPr>
                    <w:t>产品</w:t>
                  </w:r>
                  <w:r>
                    <w:rPr>
                      <w:rFonts w:hint="eastAsia"/>
                      <w:lang w:val="en-US" w:eastAsia="zh-CN"/>
                    </w:rPr>
                    <w:t>一次交</w:t>
                  </w:r>
                  <w:r>
                    <w:rPr>
                      <w:rFonts w:hint="eastAsia"/>
                    </w:rPr>
                    <w:t>验合格率</w:t>
                  </w:r>
                  <w:r>
                    <w:rPr>
                      <w:rFonts w:hint="eastAsia" w:ascii="宋体" w:hAnsi="宋体"/>
                      <w:szCs w:val="24"/>
                    </w:rPr>
                    <w:t>≥</w:t>
                  </w:r>
                  <w:r>
                    <w:rPr>
                      <w:rFonts w:hint="eastAsia"/>
                      <w:lang w:val="en-US" w:eastAsia="zh-CN"/>
                    </w:rPr>
                    <w:t>95</w:t>
                  </w:r>
                  <w:r>
                    <w:rPr>
                      <w:rFonts w:hint="eastAsia"/>
                    </w:rPr>
                    <w:t>%</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生产部</w:t>
                  </w:r>
                </w:p>
                <w:p>
                  <w:pPr>
                    <w:shd w:val="clear" w:color="auto" w:fill="C7DAF1" w:themeFill="text2" w:themeFillTint="32"/>
                    <w:rPr>
                      <w:rFonts w:hint="eastAsia"/>
                      <w:lang w:val="en-US" w:eastAsia="zh-CN"/>
                    </w:rPr>
                  </w:pPr>
                  <w:r>
                    <w:rPr>
                      <w:rFonts w:hint="eastAsia"/>
                      <w:lang w:val="en-US" w:eastAsia="zh-CN"/>
                    </w:rPr>
                    <w:t>技质部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lang w:val="en-US" w:eastAsia="zh-CN"/>
                    </w:rPr>
                  </w:pPr>
                  <w:r>
                    <w:rPr>
                      <w:rFonts w:hint="eastAsia" w:ascii="宋体" w:hAnsi="宋体" w:eastAsia="宋体" w:cs="Times New Roman"/>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rPr>
                      <w:rFonts w:hint="eastAsia" w:ascii="宋体" w:hAnsi="宋体"/>
                      <w:szCs w:val="24"/>
                      <w:lang w:eastAsia="zh-CN"/>
                    </w:rPr>
                  </w:pPr>
                  <w:r>
                    <w:rPr>
                      <w:rFonts w:hint="eastAsia" w:ascii="宋体" w:hAnsi="宋体"/>
                      <w:szCs w:val="24"/>
                    </w:rPr>
                    <w:t>合同</w:t>
                  </w:r>
                  <w:r>
                    <w:rPr>
                      <w:rFonts w:hint="eastAsia" w:ascii="宋体" w:hAnsi="宋体"/>
                      <w:szCs w:val="24"/>
                      <w:lang w:eastAsia="zh-CN"/>
                    </w:rPr>
                    <w:t>履约</w:t>
                  </w:r>
                  <w:r>
                    <w:rPr>
                      <w:rFonts w:hint="eastAsia" w:ascii="宋体" w:hAnsi="宋体"/>
                      <w:szCs w:val="24"/>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合同履约率=履约合同数/签订合同数*100%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ascii="宋体" w:hAnsi="宋体"/>
                <w:kern w:val="0"/>
                <w:szCs w:val="24"/>
                <w:u w:val="single"/>
                <w:lang w:val="en-US" w:eastAsia="zh-CN"/>
              </w:rPr>
              <w:t>47879.18</w:t>
            </w:r>
            <w:r>
              <w:rPr>
                <w:rFonts w:hint="eastAsia"/>
                <w:u w:val="single"/>
              </w:rPr>
              <w:t xml:space="preserve"> </w:t>
            </w:r>
            <w:r>
              <w:rPr>
                <w:rFonts w:hint="eastAsia"/>
              </w:rPr>
              <w:t>平方米；生产车间</w:t>
            </w:r>
            <w:r>
              <w:rPr>
                <w:rFonts w:hint="eastAsia"/>
                <w:u w:val="single"/>
              </w:rPr>
              <w:t xml:space="preserve"> </w:t>
            </w:r>
            <w:r>
              <w:rPr>
                <w:rFonts w:hint="eastAsia" w:ascii="宋体" w:hAnsi="宋体" w:eastAsia="宋体" w:cs="Times New Roman"/>
                <w:kern w:val="0"/>
                <w:szCs w:val="24"/>
                <w:u w:val="single"/>
                <w:lang w:val="en-US" w:eastAsia="zh-CN"/>
              </w:rPr>
              <w:t>1</w:t>
            </w:r>
            <w:r>
              <w:rPr>
                <w:rFonts w:hint="eastAsia"/>
                <w:u w:val="single"/>
              </w:rPr>
              <w:t xml:space="preserve">  </w:t>
            </w:r>
            <w:r>
              <w:rPr>
                <w:rFonts w:hint="eastAsia"/>
              </w:rPr>
              <w:t>个；库房</w:t>
            </w:r>
            <w:r>
              <w:rPr>
                <w:rFonts w:hint="eastAsia"/>
                <w:lang w:eastAsia="zh-CN"/>
              </w:rPr>
              <w:t>（</w:t>
            </w:r>
            <w:r>
              <w:rPr>
                <w:rFonts w:hint="eastAsia"/>
                <w:lang w:val="en-US" w:eastAsia="zh-CN"/>
              </w:rPr>
              <w:t>存料区</w:t>
            </w:r>
            <w:r>
              <w:rPr>
                <w:rFonts w:hint="eastAsia"/>
                <w:lang w:eastAsia="zh-CN"/>
              </w:rPr>
              <w:t>）</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lang w:eastAsia="zh-CN"/>
              </w:rPr>
              <w:t>（</w:t>
            </w:r>
            <w:r>
              <w:rPr>
                <w:rFonts w:hint="eastAsia"/>
                <w:lang w:val="en-US" w:eastAsia="zh-CN"/>
              </w:rPr>
              <w:t>办公区</w:t>
            </w:r>
            <w:r>
              <w:rPr>
                <w:rFonts w:hint="eastAsia"/>
                <w:lang w:eastAsia="zh-CN"/>
              </w:rPr>
              <w:t>）</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ascii="宋体" w:hAnsi="宋体" w:cs="Arial"/>
                <w:szCs w:val="21"/>
                <w:u w:val="single"/>
                <w:lang w:val="en-US" w:eastAsia="zh-CN"/>
              </w:rPr>
              <w:t>鄂破机 P2V750X1060  1台、振料给料机 2SW1142  1台、单缸液压圆锥2台PYY300/PYY2Q00、</w:t>
            </w:r>
            <w:r>
              <w:rPr>
                <w:rFonts w:hint="eastAsia" w:ascii="宋体" w:hAnsi="宋体" w:cs="Arial"/>
                <w:szCs w:val="21"/>
                <w:highlight w:val="none"/>
                <w:u w:val="single"/>
                <w:lang w:val="en-US" w:eastAsia="zh-CN"/>
              </w:rPr>
              <w:t>振动筛1#、2#、盘式给料机1台、挖掘机1台</w:t>
            </w:r>
            <w:r>
              <w:rPr>
                <w:rFonts w:hint="eastAsia" w:ascii="宋体" w:hAnsi="宋体" w:cs="Arial"/>
                <w:szCs w:val="21"/>
                <w:u w:val="single"/>
                <w:lang w:val="en-US" w:eastAsia="zh-CN"/>
              </w:rPr>
              <w:t>等</w:t>
            </w:r>
            <w:r>
              <w:rPr>
                <w:rFonts w:hint="eastAsia"/>
                <w:u w:val="single"/>
                <w:lang w:val="en-US" w:eastAsia="zh-CN"/>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 </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rPr>
              <w:t xml:space="preserve">  </w:t>
            </w:r>
            <w:r>
              <w:rPr>
                <w:rFonts w:hint="eastAsia"/>
                <w:u w:val="single"/>
                <w:lang w:val="en-US" w:eastAsia="zh-CN"/>
              </w:rPr>
              <w:t>游标卡尺、</w:t>
            </w:r>
            <w:r>
              <w:rPr>
                <w:rFonts w:hint="eastAsia" w:ascii="宋体" w:hAnsi="宋体" w:cs="Arial"/>
                <w:szCs w:val="21"/>
                <w:u w:val="single"/>
                <w:lang w:val="en-US" w:eastAsia="zh-CN"/>
              </w:rPr>
              <w:t>电子汽车衡</w:t>
            </w:r>
            <w:r>
              <w:rPr>
                <w:rFonts w:hint="eastAsia"/>
                <w:u w:val="single"/>
                <w:lang w:val="en-US" w:eastAsia="zh-CN"/>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hint="eastAsia" w:ascii="Wingdings" w:hAnsi="Wingdings"/>
              </w:rPr>
              <w:t>¨</w:t>
            </w:r>
            <w:r>
              <w:rPr>
                <w:rFonts w:hint="eastAsia"/>
              </w:rPr>
              <w:t xml:space="preserve">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w:t>
            </w:r>
            <w:r>
              <w:rPr>
                <w:rFonts w:hint="eastAsia"/>
                <w:color w:val="0000FF"/>
              </w:rPr>
              <w:t>过程及控制参数：</w:t>
            </w:r>
          </w:p>
          <w:tbl>
            <w:tblPr>
              <w:tblStyle w:val="8"/>
              <w:tblpPr w:leftFromText="180" w:rightFromText="180" w:vertAnchor="text" w:horzAnchor="page" w:tblpX="-1336" w:tblpY="155"/>
              <w:tblOverlap w:val="never"/>
              <w:tblW w:w="879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211"/>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5"/>
                      <w:lang w:val="en-US" w:eastAsia="zh-CN" w:bidi="ar"/>
                    </w:rPr>
                    <w:t>产品</w:t>
                  </w:r>
                  <w:r>
                    <w:rPr>
                      <w:rStyle w:val="26"/>
                      <w:rFonts w:eastAsia="宋体"/>
                      <w:lang w:val="en-US" w:eastAsia="zh-CN" w:bidi="ar"/>
                    </w:rPr>
                    <w:t>/</w:t>
                  </w:r>
                  <w:r>
                    <w:rPr>
                      <w:rStyle w:val="25"/>
                      <w:lang w:val="en-US" w:eastAsia="zh-CN" w:bidi="ar"/>
                    </w:rPr>
                    <w:t>服务名称</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pPr>
                </w:p>
                <w:p>
                  <w:pPr>
                    <w:keepNext w:val="0"/>
                    <w:keepLines w:val="0"/>
                    <w:widowControl/>
                    <w:suppressLineNumbers w:val="0"/>
                    <w:jc w:val="left"/>
                    <w:textAlignment w:val="top"/>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建筑废弃物资源化综合利用</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破碎</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2"/>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破碎机运转正常后才能投料，全部物料排出后才允许停机。 </w:t>
                  </w:r>
                </w:p>
                <w:p>
                  <w:pPr>
                    <w:keepNext w:val="0"/>
                    <w:keepLines w:val="0"/>
                    <w:widowControl/>
                    <w:numPr>
                      <w:ilvl w:val="0"/>
                      <w:numId w:val="2"/>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加负荷运转8小时，轴承温升不大于 40℃°。</w:t>
                  </w:r>
                </w:p>
                <w:p>
                  <w:pPr>
                    <w:keepNext w:val="0"/>
                    <w:keepLines w:val="0"/>
                    <w:widowControl/>
                    <w:numPr>
                      <w:ilvl w:val="0"/>
                      <w:numId w:val="2"/>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各运行部位状况正常，满足无负和有负荷运转要求。 </w:t>
                  </w:r>
                </w:p>
                <w:p>
                  <w:pPr>
                    <w:keepNext w:val="0"/>
                    <w:keepLines w:val="0"/>
                    <w:widowControl/>
                    <w:numPr>
                      <w:ilvl w:val="0"/>
                      <w:numId w:val="2"/>
                    </w:numPr>
                    <w:suppressLineNumbers w:val="0"/>
                    <w:ind w:left="0" w:leftChars="0" w:firstLine="420" w:firstLineChars="200"/>
                    <w:jc w:val="both"/>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加料要求均匀，避免物料在破碎腔单边破载。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筛分</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1）向筛网上给料必须均匀、连续，否则影响筛分效果；</w:t>
                  </w:r>
                </w:p>
                <w:p>
                  <w:pPr>
                    <w:keepNext w:val="0"/>
                    <w:keepLines w:val="0"/>
                    <w:widowControl/>
                    <w:numPr>
                      <w:ilvl w:val="0"/>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2）随时查看轴承温度，一般温升不应超过70C；</w:t>
                  </w:r>
                </w:p>
                <w:p>
                  <w:pPr>
                    <w:keepNext w:val="0"/>
                    <w:keepLines w:val="0"/>
                    <w:widowControl/>
                    <w:numPr>
                      <w:ilvl w:val="0"/>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3）筛架两侧弹簧弹性应同步，否则将因筛架振动不均使筛分效率降低；</w:t>
                  </w:r>
                </w:p>
                <w:p>
                  <w:pPr>
                    <w:keepNext w:val="0"/>
                    <w:keepLines w:val="0"/>
                    <w:widowControl/>
                    <w:numPr>
                      <w:ilvl w:val="0"/>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4）按客户要求及产品质量标准要求使用合适规格筛网。</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最终处置 ■其他</w:t>
            </w:r>
            <w:r>
              <w:rPr>
                <w:rFonts w:hint="eastAsia"/>
                <w:lang w:eastAsia="zh-CN"/>
              </w:rPr>
              <w:t>：</w:t>
            </w:r>
            <w:r>
              <w:rPr>
                <w:rFonts w:hint="eastAsia"/>
                <w:lang w:val="en-US" w:eastAsia="zh-CN"/>
              </w:rPr>
              <w:t>回收返工</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EF00EF7"/>
    <w:multiLevelType w:val="singleLevel"/>
    <w:tmpl w:val="5EF00EF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1B2A9C"/>
    <w:rsid w:val="11670756"/>
    <w:rsid w:val="1A0B2207"/>
    <w:rsid w:val="1A5F2FCF"/>
    <w:rsid w:val="1B351496"/>
    <w:rsid w:val="22C23023"/>
    <w:rsid w:val="305B2F20"/>
    <w:rsid w:val="36C2303D"/>
    <w:rsid w:val="39EC1445"/>
    <w:rsid w:val="3CC009DB"/>
    <w:rsid w:val="4C4615BE"/>
    <w:rsid w:val="512C2F2E"/>
    <w:rsid w:val="54D70B30"/>
    <w:rsid w:val="6352092E"/>
    <w:rsid w:val="69482D19"/>
    <w:rsid w:val="699D141C"/>
    <w:rsid w:val="6CCF612F"/>
    <w:rsid w:val="6FAD4BB7"/>
    <w:rsid w:val="71C8752E"/>
    <w:rsid w:val="73DA4F29"/>
    <w:rsid w:val="789408E6"/>
    <w:rsid w:val="7A810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列出段落1"/>
    <w:basedOn w:val="1"/>
    <w:qFormat/>
    <w:uiPriority w:val="34"/>
    <w:pPr>
      <w:ind w:firstLine="420" w:firstLineChars="200"/>
    </w:pPr>
  </w:style>
  <w:style w:type="character" w:customStyle="1" w:styleId="25">
    <w:name w:val="font11"/>
    <w:basedOn w:val="10"/>
    <w:qFormat/>
    <w:uiPriority w:val="0"/>
    <w:rPr>
      <w:rFonts w:hint="eastAsia" w:ascii="宋体" w:hAnsi="宋体" w:eastAsia="宋体" w:cs="宋体"/>
      <w:color w:val="000000"/>
      <w:sz w:val="21"/>
      <w:szCs w:val="21"/>
      <w:u w:val="none"/>
    </w:rPr>
  </w:style>
  <w:style w:type="character" w:customStyle="1" w:styleId="26">
    <w:name w:val="font31"/>
    <w:basedOn w:val="1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8877</Words>
  <Characters>9466</Characters>
  <Lines>150</Lines>
  <Paragraphs>42</Paragraphs>
  <TotalTime>8</TotalTime>
  <ScaleCrop>false</ScaleCrop>
  <LinksUpToDate>false</LinksUpToDate>
  <CharactersWithSpaces>10432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2021-12-23T09:04:49Z</cp:lastPrinted>
  <dcterms:modified xsi:type="dcterms:W3CDTF">2021-12-23T09:11:27Z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