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1291-2021-QJEO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855"/>
        <w:gridCol w:w="451"/>
        <w:gridCol w:w="35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259"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衡水华通通信网络工程有限责任公司</w:t>
            </w:r>
            <w:bookmarkEnd w:id="1"/>
          </w:p>
        </w:tc>
        <w:tc>
          <w:tcPr>
            <w:tcW w:w="2151" w:type="dxa"/>
            <w:gridSpan w:val="3"/>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259" w:type="dxa"/>
            <w:gridSpan w:val="4"/>
          </w:tcPr>
          <w:p>
            <w:pPr>
              <w:snapToGrid w:val="0"/>
              <w:spacing w:line="0" w:lineRule="atLeast"/>
              <w:jc w:val="center"/>
              <w:rPr>
                <w:sz w:val="22"/>
                <w:szCs w:val="22"/>
              </w:rPr>
            </w:pPr>
          </w:p>
        </w:tc>
        <w:tc>
          <w:tcPr>
            <w:tcW w:w="2151" w:type="dxa"/>
            <w:gridSpan w:val="3"/>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259" w:type="dxa"/>
            <w:gridSpan w:val="4"/>
          </w:tcPr>
          <w:p>
            <w:pPr>
              <w:snapToGrid w:val="0"/>
              <w:spacing w:line="0" w:lineRule="atLeast"/>
              <w:jc w:val="center"/>
              <w:rPr>
                <w:sz w:val="22"/>
                <w:szCs w:val="22"/>
              </w:rPr>
            </w:pPr>
            <w:bookmarkStart w:id="4" w:name="机构代码"/>
            <w:r>
              <w:rPr>
                <w:sz w:val="22"/>
                <w:szCs w:val="22"/>
              </w:rPr>
              <w:t>9113110278573074X3</w:t>
            </w:r>
            <w:bookmarkEnd w:id="4"/>
          </w:p>
        </w:tc>
        <w:tc>
          <w:tcPr>
            <w:tcW w:w="2151" w:type="dxa"/>
            <w:gridSpan w:val="3"/>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259" w:type="dxa"/>
            <w:gridSpan w:val="4"/>
          </w:tcPr>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19001-2016 idt ISO 9001:2015</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2151" w:type="dxa"/>
            <w:gridSpan w:val="3"/>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EC:44,E:44,O:44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2" w:name="组织名称Add1"/>
            <w:r>
              <w:rPr>
                <w:rFonts w:hint="eastAsia"/>
                <w:sz w:val="22"/>
                <w:szCs w:val="22"/>
              </w:rPr>
              <w:t>衡水华通通信网络工程有限责任公司</w:t>
            </w:r>
            <w:bookmarkEnd w:id="12"/>
          </w:p>
        </w:tc>
        <w:tc>
          <w:tcPr>
            <w:tcW w:w="5013" w:type="dxa"/>
            <w:gridSpan w:val="6"/>
            <w:vMerge w:val="restart"/>
          </w:tcPr>
          <w:p>
            <w:pPr>
              <w:snapToGrid w:val="0"/>
              <w:spacing w:line="0" w:lineRule="atLeast"/>
              <w:jc w:val="left"/>
              <w:rPr>
                <w:sz w:val="22"/>
                <w:szCs w:val="22"/>
              </w:rPr>
            </w:pPr>
            <w:bookmarkStart w:id="13" w:name="审核范围"/>
            <w:r>
              <w:rPr>
                <w:sz w:val="22"/>
                <w:szCs w:val="22"/>
              </w:rPr>
              <w:t>EC：资质范围内的通信工程施工总承包</w:t>
            </w:r>
          </w:p>
          <w:p>
            <w:pPr>
              <w:snapToGrid w:val="0"/>
              <w:spacing w:line="0" w:lineRule="atLeast"/>
              <w:jc w:val="left"/>
              <w:rPr>
                <w:sz w:val="22"/>
                <w:szCs w:val="22"/>
              </w:rPr>
            </w:pPr>
            <w:r>
              <w:rPr>
                <w:sz w:val="22"/>
                <w:szCs w:val="22"/>
              </w:rPr>
              <w:t>E：资质范围内的通信工程施工总承包所涉及场所的相关环境管理活动</w:t>
            </w:r>
          </w:p>
          <w:p>
            <w:pPr>
              <w:snapToGrid w:val="0"/>
              <w:spacing w:line="0" w:lineRule="atLeast"/>
              <w:jc w:val="left"/>
              <w:rPr>
                <w:sz w:val="22"/>
                <w:szCs w:val="22"/>
              </w:rPr>
            </w:pPr>
            <w:r>
              <w:rPr>
                <w:sz w:val="22"/>
                <w:szCs w:val="22"/>
              </w:rPr>
              <w:t>O：资质范围内的通信工程施工总承包所涉及场所的相关职业健康安全管理活动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衡水市桃城区中华大街281号泰一尚城2号楼1221室</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衡水市桃城区中华大街281号泰一尚城2号楼1221室</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ascii="华文宋体" w:hAnsi="华文宋体" w:eastAsia="华文宋体"/>
                <w:color w:val="auto"/>
                <w:sz w:val="21"/>
                <w:szCs w:val="21"/>
              </w:rPr>
              <w:t>HengShui HuaTong Communications Network Engineering CO.,LTD</w:t>
            </w:r>
          </w:p>
        </w:tc>
        <w:tc>
          <w:tcPr>
            <w:tcW w:w="1337" w:type="dxa"/>
            <w:gridSpan w:val="3"/>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General contracting of communication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3"/>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the places involved in the general contracting of communication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Room 1221, building 2, taiyishang City, 281 Zhonghua street, Taocheng District, Hengshui City</w:t>
            </w:r>
          </w:p>
        </w:tc>
        <w:tc>
          <w:tcPr>
            <w:tcW w:w="1337" w:type="dxa"/>
            <w:gridSpan w:val="3"/>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general contracting of communication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3"/>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rPr>
              <w:t>Room 1221, building 2, taiyishang City, 281 Zhonghua street, Taocheng District, Hengshui City</w:t>
            </w:r>
          </w:p>
        </w:tc>
        <w:tc>
          <w:tcPr>
            <w:tcW w:w="1337" w:type="dxa"/>
            <w:gridSpan w:val="3"/>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3"/>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0" w:type="dxa"/>
            <w:gridSpan w:val="2"/>
            <w:vAlign w:val="center"/>
          </w:tcPr>
          <w:p>
            <w:pPr>
              <w:snapToGrid w:val="0"/>
              <w:spacing w:line="0" w:lineRule="atLeast"/>
              <w:jc w:val="both"/>
              <w:rPr>
                <w:rFonts w:hint="eastAsia"/>
                <w:sz w:val="22"/>
                <w:szCs w:val="18"/>
                <w:lang w:val="en-GB"/>
              </w:rPr>
            </w:pPr>
            <w:r>
              <w:rPr>
                <w:rFonts w:hint="eastAsia" w:cs="Arial"/>
                <w:b/>
                <w:bCs/>
                <w:sz w:val="22"/>
                <w:szCs w:val="16"/>
              </w:rPr>
              <w:t>受审核方签章</w:t>
            </w:r>
          </w:p>
        </w:tc>
        <w:tc>
          <w:tcPr>
            <w:tcW w:w="3320" w:type="dxa"/>
            <w:gridSpan w:val="2"/>
            <w:vAlign w:val="center"/>
          </w:tcPr>
          <w:p>
            <w:pPr>
              <w:snapToGrid w:val="0"/>
              <w:spacing w:line="0" w:lineRule="atLeast"/>
              <w:jc w:val="both"/>
              <w:rPr>
                <w:rFonts w:hint="eastAsia"/>
                <w:sz w:val="22"/>
                <w:szCs w:val="18"/>
                <w:lang w:val="en-GB"/>
              </w:rPr>
            </w:pPr>
          </w:p>
        </w:tc>
        <w:tc>
          <w:tcPr>
            <w:tcW w:w="1660" w:type="dxa"/>
            <w:gridSpan w:val="3"/>
            <w:vAlign w:val="center"/>
          </w:tcPr>
          <w:p>
            <w:pPr>
              <w:snapToGrid w:val="0"/>
              <w:spacing w:line="0" w:lineRule="atLeast"/>
              <w:jc w:val="both"/>
              <w:rPr>
                <w:rFonts w:hint="eastAsia"/>
                <w:sz w:val="22"/>
                <w:szCs w:val="18"/>
                <w:lang w:val="en-GB"/>
              </w:rPr>
            </w:pPr>
            <w:r>
              <w:rPr>
                <w:rFonts w:hint="eastAsia"/>
                <w:sz w:val="22"/>
                <w:szCs w:val="18"/>
              </w:rPr>
              <w:t>审核组长签字</w:t>
            </w: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022975" cy="8860155"/>
            <wp:effectExtent l="0" t="0" r="9525" b="4445"/>
            <wp:docPr id="2" name="图片 2" descr="773b569ff10486b6df975377a8820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3b569ff10486b6df975377a8820e2"/>
                    <pic:cNvPicPr>
                      <a:picLocks noChangeAspect="1"/>
                    </pic:cNvPicPr>
                  </pic:nvPicPr>
                  <pic:blipFill>
                    <a:blip r:embed="rId5"/>
                    <a:stretch>
                      <a:fillRect/>
                    </a:stretch>
                  </pic:blipFill>
                  <pic:spPr>
                    <a:xfrm>
                      <a:off x="0" y="0"/>
                      <a:ext cx="6022975" cy="886015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35780E"/>
    <w:rsid w:val="2E171E7B"/>
    <w:rsid w:val="48C01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2021-12-29T06:27:29Z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